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B2" w:rsidRPr="005B622D" w:rsidRDefault="00326EB2" w:rsidP="008440B2">
      <w:pPr>
        <w:spacing w:after="0"/>
        <w:ind w:firstLine="13750"/>
        <w:rPr>
          <w:bCs/>
          <w:sz w:val="16"/>
          <w:szCs w:val="16"/>
        </w:rPr>
      </w:pPr>
      <w:r>
        <w:rPr>
          <w:bCs/>
          <w:sz w:val="16"/>
          <w:szCs w:val="16"/>
        </w:rPr>
        <w:t>Załącznik nr 55</w:t>
      </w:r>
      <w:bookmarkStart w:id="0" w:name="_GoBack"/>
      <w:bookmarkEnd w:id="0"/>
    </w:p>
    <w:p w:rsidR="008440B2" w:rsidRDefault="008440B2" w:rsidP="00B64D0F">
      <w:pPr>
        <w:spacing w:after="0"/>
        <w:jc w:val="both"/>
        <w:rPr>
          <w:b w:val="0"/>
        </w:rPr>
      </w:pPr>
    </w:p>
    <w:p w:rsidR="00B64D0F" w:rsidRPr="00931596" w:rsidRDefault="00B64D0F" w:rsidP="00B64D0F">
      <w:pPr>
        <w:spacing w:after="0"/>
        <w:jc w:val="both"/>
        <w:rPr>
          <w:b w:val="0"/>
        </w:rPr>
      </w:pPr>
      <w:r w:rsidRPr="00931596">
        <w:rPr>
          <w:b w:val="0"/>
        </w:rPr>
        <w:t>Nazwa kierunku studiów: Filologia polska</w:t>
      </w:r>
    </w:p>
    <w:p w:rsidR="00B64D0F" w:rsidRPr="00931596" w:rsidRDefault="00B64D0F" w:rsidP="00B64D0F">
      <w:pPr>
        <w:spacing w:after="0"/>
        <w:jc w:val="both"/>
        <w:rPr>
          <w:b w:val="0"/>
        </w:rPr>
      </w:pPr>
      <w:r w:rsidRPr="00931596">
        <w:rPr>
          <w:b w:val="0"/>
        </w:rPr>
        <w:t>Poziom studiów: studia drugiego stopnia</w:t>
      </w:r>
    </w:p>
    <w:p w:rsidR="00B64D0F" w:rsidRPr="00931596" w:rsidRDefault="00B64D0F" w:rsidP="00B64D0F">
      <w:pPr>
        <w:spacing w:after="0"/>
        <w:jc w:val="both"/>
        <w:rPr>
          <w:b w:val="0"/>
        </w:rPr>
      </w:pPr>
      <w:r w:rsidRPr="00931596">
        <w:rPr>
          <w:b w:val="0"/>
        </w:rPr>
        <w:t>Poziom kwalifikacji: 7</w:t>
      </w:r>
    </w:p>
    <w:p w:rsidR="00B64D0F" w:rsidRDefault="00B64D0F" w:rsidP="00B64D0F">
      <w:pPr>
        <w:spacing w:after="0"/>
        <w:jc w:val="both"/>
        <w:rPr>
          <w:b w:val="0"/>
        </w:rPr>
      </w:pPr>
      <w:r w:rsidRPr="00931596">
        <w:rPr>
          <w:b w:val="0"/>
        </w:rPr>
        <w:t>Profil kształcenia: ogólnokademicki</w:t>
      </w:r>
    </w:p>
    <w:p w:rsidR="00B64D0F" w:rsidRPr="00931596" w:rsidRDefault="00B64D0F" w:rsidP="00B64D0F">
      <w:pPr>
        <w:spacing w:after="0"/>
        <w:jc w:val="both"/>
        <w:rPr>
          <w:b w:val="0"/>
        </w:rPr>
      </w:pPr>
    </w:p>
    <w:p w:rsidR="00B64D0F" w:rsidRPr="00931596" w:rsidRDefault="00B64D0F" w:rsidP="00B64D0F">
      <w:pPr>
        <w:jc w:val="both"/>
        <w:rPr>
          <w:b w:val="0"/>
        </w:rPr>
      </w:pPr>
      <w:r w:rsidRPr="00931596">
        <w:rPr>
          <w:b w:val="0"/>
        </w:rPr>
        <w:t xml:space="preserve">Numer załącznika do uchwały Nr 133/2019 Senatu Uniwersytetu Wrocławskiego z dnia 25 września 2019 r. </w:t>
      </w:r>
      <w:r w:rsidRPr="00931596">
        <w:rPr>
          <w:b w:val="0"/>
          <w:bCs/>
        </w:rPr>
        <w:t>w sprawie programów studiów dla kierunków prowadzonych w Uniwersytecie Wrocławskim  - 57</w:t>
      </w:r>
    </w:p>
    <w:p w:rsidR="00B64D0F" w:rsidRPr="00931596" w:rsidRDefault="00B64D0F" w:rsidP="00B64D0F">
      <w:pPr>
        <w:suppressAutoHyphens/>
        <w:spacing w:after="0"/>
        <w:jc w:val="both"/>
        <w:rPr>
          <w:b w:val="0"/>
        </w:rPr>
      </w:pPr>
    </w:p>
    <w:tbl>
      <w:tblPr>
        <w:tblStyle w:val="Tabela-Siatka"/>
        <w:tblW w:w="15593" w:type="dxa"/>
        <w:tblInd w:w="-5" w:type="dxa"/>
        <w:tblLook w:val="04A0"/>
      </w:tblPr>
      <w:tblGrid>
        <w:gridCol w:w="823"/>
        <w:gridCol w:w="3812"/>
        <w:gridCol w:w="10958"/>
      </w:tblGrid>
      <w:tr w:rsidR="00B64D0F" w:rsidRPr="00B64D0F" w:rsidTr="008221DC">
        <w:trPr>
          <w:trHeight w:val="459"/>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l.p.</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jc w:val="center"/>
            </w:pPr>
            <w:r w:rsidRPr="00B64D0F">
              <w:t>Nazwa przedmiotu</w:t>
            </w:r>
          </w:p>
        </w:tc>
        <w:tc>
          <w:tcPr>
            <w:tcW w:w="10958"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34"/>
              <w:jc w:val="center"/>
            </w:pPr>
            <w:r w:rsidRPr="00B64D0F">
              <w:t>Treści programowe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0"/>
            </w:pPr>
            <w:r w:rsidRPr="00B64D0F">
              <w:rPr>
                <w:bCs/>
              </w:rPr>
              <w:t>Historia języka polskiego (I)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autoSpaceDN w:val="0"/>
              <w:adjustRightInd w:val="0"/>
              <w:spacing w:after="0"/>
              <w:ind w:right="34"/>
              <w:jc w:val="both"/>
              <w:rPr>
                <w:rFonts w:cs="Verdana"/>
                <w:b w:val="0"/>
                <w:bCs/>
              </w:rPr>
            </w:pPr>
            <w:r w:rsidRPr="008221DC">
              <w:rPr>
                <w:rFonts w:cs="Verdana"/>
                <w:b w:val="0"/>
                <w:bCs/>
              </w:rPr>
              <w:t>Periodyzacje dziejów polszczyzny. Czynniki sprawcze rozwoju polszczyzny w poszczególnych dobach. Kształtowanie się ortografii polskiej. Zmiany ilościowe i jakościowe leksyki polskiej Onomastyka jako źródło wiedzy o polszczyźnie. Polityka językowa: działania instytucji kulturalnych, państwowych na rzecz polszczyzny.</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pPr>
            <w:r w:rsidRPr="00B64D0F">
              <w:rPr>
                <w:bCs/>
              </w:rPr>
              <w:t>Historia języka polskiego (II)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autoSpaceDN w:val="0"/>
              <w:adjustRightInd w:val="0"/>
              <w:spacing w:after="0"/>
              <w:ind w:right="34"/>
              <w:jc w:val="both"/>
              <w:rPr>
                <w:rFonts w:cs="Verdana"/>
                <w:b w:val="0"/>
                <w:bCs/>
              </w:rPr>
            </w:pPr>
            <w:r w:rsidRPr="008221DC">
              <w:rPr>
                <w:rFonts w:cs="Verdana"/>
                <w:b w:val="0"/>
                <w:bCs/>
              </w:rPr>
              <w:t xml:space="preserve">Pochodzenie i rozwój języka literackiego. Rola Kościoła i religii w kształtowaniu polszczyzny. Wpływ reformacji i kontrreformacji na rozwój polszczyzny. Rozwój drukarstwa i rola książki drukowanej w rozwoju polszczyzny. Rola łaciny w dziejach polszczyzny. Zapożyczenia. Zróżnicowanie regionalne i funkcjonalne polszczyzny.  Najważniejsze tendencje rozwojowe polszczyzny po 1945 r.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rPr>
                <w:bCs/>
              </w:rPr>
              <w:t>Wstęp do etnolingwistyki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Przedmiot i zakres etnolingwistyki, problemy terminologiczne.  Związki etnolingwistyki z innymi dyscyplinami – miejsca wspólne.  Tradycje badań etnolingwistycznych w Polsce i poza jej granicami  Rola języka w badaniach etnolingwistycznych jako podstawowego źródła wiedzy o  człowieku.  Dwa poziomy badań etnolingwistycznych.  Relacje między językiem i kulturą ludową. Wykorzystanie narzędzi etnolingwistycznych do analizy zjawisk kultury ludowej.</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pPr>
            <w:r w:rsidRPr="00B64D0F">
              <w:rPr>
                <w:bCs/>
              </w:rPr>
              <w:t>Onomastyka  kulturowa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uppressAutoHyphens/>
              <w:spacing w:before="120"/>
              <w:ind w:right="34"/>
              <w:jc w:val="both"/>
              <w:rPr>
                <w:b w:val="0"/>
              </w:rPr>
            </w:pPr>
            <w:r w:rsidRPr="008221DC">
              <w:rPr>
                <w:b w:val="0"/>
              </w:rPr>
              <w:t xml:space="preserve">Omawiane są różne typy nazw własnych, by ukazać, że obok podstawowej funkcji identyfikacyjnej, nazwy, funkcjonując w określonych grupach społecznych, mogą ujawniać i symbolizować idee narodowe, religijne, społeczne, systemy wartości, zmiany mentalności, czy procesy globalizacji.   </w:t>
            </w:r>
          </w:p>
        </w:tc>
      </w:tr>
      <w:tr w:rsidR="00B64D0F" w:rsidRPr="00B64D0F" w:rsidTr="008221DC">
        <w:trPr>
          <w:trHeight w:val="359"/>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pPr>
            <w:r w:rsidRPr="00B64D0F">
              <w:rPr>
                <w:bCs/>
              </w:rPr>
              <w:t>Semiotyczne aspekty kultury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b w:val="0"/>
              </w:rPr>
            </w:pPr>
            <w:r w:rsidRPr="008221DC">
              <w:rPr>
                <w:b w:val="0"/>
              </w:rPr>
              <w:t>Rozumienie kultury: kultura jako system znakowy. Teksty kultury jako „przedmioty semiotyczne”. Znak i obrzęd, na przykładzie obrzędów przejścia Dramatyczność przedstawień obrzędowych. Poetyka mitu i jej odbicie w sztuce współczesnej. Teatr postdramatyczny: postdramatyczne znaki teatralne. Przełom performatywny w sztuce. Człowiek w teatrze życia codziennego.</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pPr>
            <w:r w:rsidRPr="00B64D0F">
              <w:rPr>
                <w:bCs/>
              </w:rPr>
              <w:t>Metodyka tekstu naukowego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Student – podmiot prawa autorskiego.  Prawo autorskie. Prawa osobiste. Prawa majątkowe. Plagiat. Zagadnienia prawa karnego i postępowania dyscyplinarnego.</w:t>
            </w:r>
          </w:p>
          <w:p w:rsidR="00B64D0F" w:rsidRPr="008221DC" w:rsidRDefault="00B64D0F" w:rsidP="00B64D0F">
            <w:pPr>
              <w:spacing w:after="0"/>
              <w:ind w:right="34"/>
              <w:jc w:val="both"/>
              <w:rPr>
                <w:rFonts w:cs="Arial Narrow"/>
                <w:b w:val="0"/>
              </w:rPr>
            </w:pPr>
            <w:r w:rsidRPr="008221DC">
              <w:rPr>
                <w:rFonts w:cs="Arial Narrow"/>
                <w:b w:val="0"/>
              </w:rPr>
              <w:t>pojęcie dozwolonego użytku, warunki dozwolonego użytku (cytat).  Prawo autorskie w Internecie. Licencje CC, Open Access.</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rPr>
                <w:bCs/>
              </w:rPr>
              <w:t>Seminarium magisterskie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b w:val="0"/>
              </w:rPr>
              <w:t>Metodologia pracy naukowej. Właściwości tezy; gromadzenie bibliografii; metody zbierania materiałów do pracy; analiza zebranego materiału; studium przypadku: prezentacja poszczególnych zagadnień opracowywanych przez magistrantów.</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t xml:space="preserve">Mit – alegoria – symbol w </w:t>
            </w:r>
            <w:r w:rsidRPr="00B64D0F">
              <w:lastRenderedPageBreak/>
              <w:t>literaturze dawnej</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lastRenderedPageBreak/>
              <w:t xml:space="preserve">Dawna i nowożytna koncepcja symbol. Mit jako tworzywo literackie i przedmiot interpretacji. Alegoria i alegoreza. Szkolne modele lektury Biblii i autorów klasycznych i ich wpływ na dawną literaturę. Obecność </w:t>
            </w:r>
            <w:r w:rsidRPr="008221DC">
              <w:rPr>
                <w:rFonts w:cs="Arial Narrow"/>
                <w:b w:val="0"/>
              </w:rPr>
              <w:lastRenderedPageBreak/>
              <w:t>alegorii w różnych gatunkach literackich. Oświeceniowa a romantyczna koncepcja mitu.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lastRenderedPageBreak/>
              <w:t>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t>Polszczyzna przez wieki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rPr>
            </w:pPr>
            <w:r w:rsidRPr="008221DC">
              <w:rPr>
                <w:b w:val="0"/>
              </w:rPr>
              <w:t>Zmiana jako wewnętrzna właściwość języków naturalnych.  Specyfika języka polskiego na tle innych języków słowiańskich.  Pochodzenie polskiego języka literackiego.  Zróżnicowanie regionalne i funkcjonalne polszczyzny. Wpływy języków obcych na j. polski. Mechanizmy przemian w zasobie leksykalnym. Dziele polskiej leksykografii. Styl artystyczny w różnych okresach literackich. Najważniejsze tendencje rozwojowe polszczyzny po 1945 roku.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t>Metodologia badań literackich</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rPr>
            </w:pPr>
            <w:r w:rsidRPr="008221DC">
              <w:rPr>
                <w:b w:val="0"/>
              </w:rPr>
              <w:t>Tożsamość metodologii badań literackich. Formalizm, strukturalizm, poststrukturalizm, intertekstualność. Fenomenologia i hermeneutyka. Krytyka feministyczna, studia genderowe, teoria queerowa. Postkolonializm.</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Tekstologia i edytorstwo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rFonts w:cs="Arial Narrow"/>
                <w:b w:val="0"/>
                <w:bCs/>
              </w:rPr>
              <w:t>Definicje tekstu, tekstologii i edytorstwa; rozróżnienie: przekaz – zapis – tekst – dzieło; lektura i konfrontacja przekazów rękopiśmiennych i drukowanych; typologia przekazów; hierarchia przekazów; etapy typowego postępowania tekstologicznego – porównywanie przekazów, usuwanie błędów i skażeń, ustalenie tekstu.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Redakcja tekstu</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bCs/>
              </w:rPr>
            </w:pPr>
            <w:r w:rsidRPr="008221DC">
              <w:rPr>
                <w:rFonts w:cs="Arial Narrow"/>
                <w:b w:val="0"/>
                <w:bCs/>
              </w:rPr>
              <w:t>Elementarne terminy związane z działalnością redakcyjną oraz podstawowe zadania redaktora. Etyka redaktorska; redagowanie tekstów naukowych – problemy poprawności metodologicznej oraz logicznej. Adiustacja: sposoby zaznaczania poprawek i komentarzy redakcyjnych. Znaki korektorskie oraz etapy korekty. Parametry typograficzne oraz rodzaje pisma; kategorie stosowanych w tekście wyróżnień i ich funkcje. Najważniejsze znaki wewnątrzwyrazowe i międzywyrazowe, ideogramy, skróty i symbole graficzne. Problemy redakcyjne związane ze stosowaniem w tekście nazw własnych i pospolitych.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Kulturowa historia sztuki filmowej</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B64D0F" w:rsidRDefault="00B64D0F" w:rsidP="00B64D0F">
            <w:pPr>
              <w:pStyle w:val="Akapitzlist2"/>
              <w:spacing w:after="0" w:line="240" w:lineRule="auto"/>
              <w:ind w:left="0" w:right="34"/>
              <w:jc w:val="both"/>
              <w:textAlignment w:val="top"/>
              <w:rPr>
                <w:rFonts w:ascii="Verdana" w:hAnsi="Verdana"/>
                <w:bCs/>
                <w:sz w:val="20"/>
                <w:szCs w:val="20"/>
              </w:rPr>
            </w:pPr>
            <w:r w:rsidRPr="00B64D0F">
              <w:rPr>
                <w:rFonts w:ascii="Verdana" w:hAnsi="Verdana"/>
                <w:bCs/>
                <w:sz w:val="20"/>
                <w:szCs w:val="20"/>
              </w:rPr>
              <w:t xml:space="preserve">D.W. Griffith a podstawy montażu filmowego i filmowej narracji (fragmenty </w:t>
            </w:r>
            <w:r w:rsidRPr="00B64D0F">
              <w:rPr>
                <w:rFonts w:ascii="Verdana" w:hAnsi="Verdana"/>
                <w:bCs/>
                <w:i/>
                <w:sz w:val="20"/>
                <w:szCs w:val="20"/>
              </w:rPr>
              <w:t>Narodzin narodu</w:t>
            </w:r>
            <w:r w:rsidRPr="00B64D0F">
              <w:rPr>
                <w:rFonts w:ascii="Verdana" w:hAnsi="Verdana"/>
                <w:bCs/>
                <w:sz w:val="20"/>
                <w:szCs w:val="20"/>
              </w:rPr>
              <w:t xml:space="preserve"> i </w:t>
            </w:r>
            <w:r w:rsidRPr="00B64D0F">
              <w:rPr>
                <w:rFonts w:ascii="Verdana" w:hAnsi="Verdana"/>
                <w:bCs/>
                <w:i/>
                <w:sz w:val="20"/>
                <w:szCs w:val="20"/>
              </w:rPr>
              <w:t>Nietolerancji</w:t>
            </w:r>
            <w:r w:rsidRPr="00B64D0F">
              <w:rPr>
                <w:rFonts w:ascii="Verdana" w:hAnsi="Verdana"/>
                <w:bCs/>
                <w:sz w:val="20"/>
                <w:szCs w:val="20"/>
              </w:rPr>
              <w:t xml:space="preserve">). Awangarda francuska lat 20.. Kino radzieckie lat 20. – ideologia i pragmatyka montażu. Ekspresjonizm niemiecki wobec ekspresjonizmu w teatrze i plastyce. Film gangsterski i film noir w USA lat 30. i 40. jako źródła archetypów tematyczno-formalnych światowego kina sensacyjno-kryminalnego. Western jako gatunek narodowy Amerykanów (okres klasyczny). </w:t>
            </w:r>
            <w:r w:rsidRPr="00B64D0F">
              <w:rPr>
                <w:rFonts w:ascii="Verdana" w:hAnsi="Verdana"/>
                <w:bCs/>
                <w:i/>
                <w:sz w:val="20"/>
                <w:szCs w:val="20"/>
              </w:rPr>
              <w:t>Obywatel Kane</w:t>
            </w:r>
            <w:r w:rsidRPr="00B64D0F">
              <w:rPr>
                <w:rFonts w:ascii="Verdana" w:hAnsi="Verdana"/>
                <w:bCs/>
                <w:sz w:val="20"/>
                <w:szCs w:val="20"/>
              </w:rPr>
              <w:t xml:space="preserve"> (1941) Orsona Wellesa jako dzieło estetycznego przełomu w kinematografii światowej – totalny subiektywizm narracji filmowej. Neorealizm włoski jako opozycja do hollywoodzkiego modelu kina. (fragmenty filmów Rosselliniego, De Siki, Felliniego).</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Mistrzowie kina europejskiego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uppressAutoHyphens/>
              <w:ind w:right="34"/>
              <w:jc w:val="both"/>
              <w:rPr>
                <w:rFonts w:cs="Verdana"/>
                <w:b w:val="0"/>
                <w:bCs/>
              </w:rPr>
            </w:pPr>
            <w:r w:rsidRPr="008221DC">
              <w:rPr>
                <w:rFonts w:cs="Verdana"/>
                <w:b w:val="0"/>
                <w:bCs/>
              </w:rPr>
              <w:t>Twórczość filmowa jako wielka terapeutka: postawa twórcza Ingmara Bergmana. Pomiędzy odwołaniami do dawnych mistrzów (Federica Felliniego, Michelangela Antonioniego) a własnym charakterem filmowego pisma – filmy Paola Sorrentino.  Palący chłód narracji arcydzieł Michaela Hanekego.  Postsowiecka Rosja w filmach „na miarę Tarkowskiego” Andrieja Zwiagincewa.  Kino głębokich twórczych poszukiwań czy pustych prowokacji szokowych? Utwory Larsa Von Triera.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Społeczeństwo obywatelskie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b w:val="0"/>
                <w:bCs/>
              </w:rPr>
              <w:t xml:space="preserve">Historia rozwoju filozoficznej idei społeczeństwa </w:t>
            </w:r>
            <w:r w:rsidRPr="008221DC">
              <w:rPr>
                <w:rFonts w:cs="Verdana"/>
                <w:b w:val="0"/>
                <w:bCs/>
              </w:rPr>
              <w:t>obywatelskiego od antyku po współczesność; podział na tradycję liberalną i republikańską w myśleniu o społeczeństwie obywatelskim; inicjatywy na rzecz promowania idei społeczeństwa obywatelskiego na Dolnym Śląsku.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Edukacja pozaformalna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b w:val="0"/>
                <w:bCs/>
              </w:rPr>
              <w:t xml:space="preserve">Lider i animator (pojęcie, problemy); związki edukacji pozaformalnej z formalną; wielokulturowość i tolerancja dla inności; edukacja regionalna; tożsamość regionalna, narodowa, europejska; kształcenie humanistyczne i społeczne a nowoczesne wychowanie w dobie globalizacji i integracji europejskiej; praca w grupach; metody aktywizujące; wolontariat; reklama i kampania społeczna; programy internetowe i gromadzenie, tworzenie i przekształcanie informacji; zarządzanie oraz zmysł przedsiębiorczości – podstawowe zagadnienia; kompetencje interpersonalne i obywatelskie; świadomość kulturowa, </w:t>
            </w:r>
            <w:r w:rsidRPr="008221DC">
              <w:rPr>
                <w:b w:val="0"/>
                <w:bCs/>
              </w:rPr>
              <w:lastRenderedPageBreak/>
              <w:t>porozumiewanie się między ludźmi – dialog, dyskusja, debata, polemika; wspólne europejskie cele edukacyjne i współpraca międzynarodowa, (Socrates, Młodzież w działaniu, Leonardo da Vinci), portfolio – samoocena; kształcenie ustawiczne; zależności pomiędzy ogólnoeuropejskimi dokumentami i projektami edukacyjnymi  w obszarze edukacji międzykulturowej (w tym: prawa człowieka, prawa mniejszości narodowych, przeciwdziałanie rasizmowi, ksenofobii, anytysemityzmowi).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lastRenderedPageBreak/>
              <w:t>17.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III sektor – statuty, umowy, stypendia, programy dotacyjne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rStyle w:val="nl2br-paragraph"/>
                <w:b w:val="0"/>
                <w:bCs/>
              </w:rPr>
              <w:t>pokazanie możliwości trzeciego sektora i umiejętność poruszania się po obszarach dotacji pozwoli mu na wypełnienie tej roli. Studia uwzględniają najnowsze trendy i metody integracji społecznej stosowane w większości krajów unijnych, a także potrzeby wynikające z gwałtownego rozwoju technik komunikacji medialnej i dyskursu interkulturowego w zjednoczonej Europie. Celem zajęć będzie pokazanie możliwości humanistycznej wiedzy w rozpoznawaniu potrzeb społeczności lokalnej i ich zaspokajaniu przez działania w sferze pozarządowej, np. poprzez powoływanie fundacji i stowarzyszeń tworzących podstawy społeczeństwa obywatelskiego.</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Proza. Warsztat krytyczny z elementami twórczego pisania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b w:val="0"/>
                <w:bCs/>
              </w:rPr>
            </w:pPr>
            <w:r w:rsidRPr="008221DC">
              <w:rPr>
                <w:b w:val="0"/>
                <w:bCs/>
              </w:rPr>
              <w:t xml:space="preserve">Poznanie strategii pisarskich, na przykładach: J. Błoński, „Ofiarny kozioł i koń trojański”; P. Śliwiński, „Świat na brudno”; J. Sławiński, „Funkcje krytyki literackiej”, Pisanie pierwszej noty, na próbę, z samodzielnie wybranej książki. Marian Pilot, „Pióropusz”/ Wiesław Myśliwski, „Widnokrąg”/ „Traktat o łuskaniu fasoli”; kanon i rynek. Jerzy Jarzębski, „Apetyt na przemianę”, </w:t>
            </w:r>
            <w:r w:rsidRPr="008221DC">
              <w:rPr>
                <w:b w:val="0"/>
                <w:bCs/>
                <w:lang w:val="fr-FR"/>
              </w:rPr>
              <w:t xml:space="preserve">Filipiak, „Absolutna amnezja”; </w:t>
            </w:r>
            <w:r w:rsidRPr="008221DC">
              <w:rPr>
                <w:b w:val="0"/>
                <w:bCs/>
                <w:i/>
                <w:lang w:val="fr-FR"/>
              </w:rPr>
              <w:t xml:space="preserve">écriture feminine. </w:t>
            </w:r>
            <w:r w:rsidRPr="008221DC">
              <w:rPr>
                <w:b w:val="0"/>
                <w:bCs/>
              </w:rPr>
              <w:t>M Janion, „Ifigenia w Polsce”; D. Kozicka, „Krytyczne nieporządki”, Michał Witkowski, „Drwal”; proza środka. Krzysztof Uniłowski, „Granice nowoczesności”; Dyskusja na łamach „Tygodnika Powszechnego”: A. Nasiłowska, „Literaturka”, Andrzej Stasiuk, „Dziennik pisany później”; podróż nostalgiczna i praca pamięci. Inga Iwasiów, „Rewindykacje”; Przemysław Czapliński, „Wzniosłe tęsknoty. Nostalgie w prozie lat 90.”  Joanna Bator, „Ciemno, prawie noc”; polityczność prozy. „Polityka literatury. Przewodnik Krytyki Politycznej”; Igor Stokfiszewski, „Zwrot polityczny” i „Co to znaczy dzisiaj być polską pisarką”, Wit Szostak, „Fuga”; nowa literatura fantastyczna. Dorota Kozicka, „Pisarze fantastyczni”.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19.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 xml:space="preserve">Proza po 1989 r.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w:b w:val="0"/>
                <w:bCs/>
              </w:rPr>
            </w:pPr>
            <w:r w:rsidRPr="008221DC">
              <w:rPr>
                <w:rFonts w:cs="Arial"/>
                <w:b w:val="0"/>
                <w:bCs/>
              </w:rPr>
              <w:t>Geopoetyka prozy najnowszej. Nostalgia w prozie.  Polska w prozie społecznie „zaangażowanej”. Proza kobieca. Literacka rodzina. Proza i obyczaje. Literatura a orientacja homoerotyczna. Literackie ujęcia XX-wiecznej historii Polaków. Proza eksperymentalna. Intertekstualność współczesnej polskiej prozy. Literatura a tzw. dyskurs dominujący.  Fikcja i groza. Powieść kryminalna.  Nurt metafizyczno-egzystencjalny. Współczesna polska eseistyka.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Wybrane zagadnienia krytyki muzycznej. Warsztat z elementami twórczego pisania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bCs/>
              </w:rPr>
            </w:pPr>
            <w:r w:rsidRPr="008221DC">
              <w:rPr>
                <w:rFonts w:cs="Arial Narrow"/>
                <w:b w:val="0"/>
                <w:bCs/>
              </w:rPr>
              <w:t>Uzupełnienie znajomości różnogatunkowych dokonań muzycznych. Zagadnienia krytyki muzycznej. Wielość dyskursów traktujących o muzyce. Muzyka klasyczna, jazz, muzyka popularna.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Dzieje nauczania języka polskiego jako obcego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rFonts w:cs="Arial Narrow"/>
                <w:b w:val="0"/>
                <w:bCs/>
              </w:rPr>
              <w:t>Podstawowe pojęcia i terminy – glottodydaktyka historyczna, język polski jako obcy. Dawność zainteresowania językiem polskim jako obcym. Miasta, w których nauczano i czas takiej działalności. Podstawowe podręczniki do nauczania jpjo. Motywacja uczących się.</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Nauczanie wymowy polskiej</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rFonts w:cs="Arial Narrow"/>
                <w:b w:val="0"/>
                <w:bCs/>
              </w:rPr>
              <w:t xml:space="preserve">Wprowadzenie podstawowych terminów w kontekście nauczania wymowy: słuch fonetyczny i fonologiczny; polimorfizm głosek, dentalizacja, kompensacja artykulacyjna. Prezentowanie i omawianie ćwiczeń do doskonalenia słuchu fonologicznego. Zastosowanie metod logopedycznych w pracy nad wymową polską jako obcą. Analiza trudności fonologicznych i fonetycznych studentów niemieckojęzycznych. (analiza nagranego materiału). Wybrane elementy polsko-niemieckiej fonetyki konfrontatywnej. Polska palatalność na tle innych języków słowiańskich (teoria). Analiza trudności fonologicznych i fonetycznych studentek chińskojęzycznych. Odsłuchiwanie nagrań. Ćwiczenia na </w:t>
            </w:r>
            <w:r w:rsidRPr="008221DC">
              <w:rPr>
                <w:rFonts w:cs="Arial Narrow"/>
                <w:b w:val="0"/>
                <w:bCs/>
              </w:rPr>
              <w:lastRenderedPageBreak/>
              <w:t>odpowiednim materiale do doskonalenia wymowy. Odsłuchiwanie tekstów czytanych i wypowiedzi spontanicznych studentów czeskojęzycznych. Analiza trudności fonologicznych i fonetycznych studentów hiszpańskojęzycznych. Odsłuchiwanie nagrania testu artykulacyjnego. Analiza trudności artykulacyjnych w zakresie głosek detalizowanych. Polskie afrykaty i ich akwizycja. Problem głosek [b] i [v]. Studia nad najnowszym zbiorem reguł poprawnej wymowy polskiej. Praca ze słownikami wymowy polskiej.</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lastRenderedPageBreak/>
              <w:t>23.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Wprowadzenie do metodyki nauczania języka polskiego jako obcego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Arial Narrow"/>
                <w:b w:val="0"/>
                <w:bCs/>
              </w:rPr>
            </w:pPr>
            <w:r w:rsidRPr="008221DC">
              <w:rPr>
                <w:rFonts w:cs="Arial Narrow"/>
                <w:b w:val="0"/>
                <w:bCs/>
              </w:rPr>
              <w:t>Lingwistyka stosowana  a glottodydaktyka, glottodydaktyka jako samodzielna dyscyplina naukowa, środki i materiały glottodydaktyczne. Glottodydaktyka polonistyczna. Potrzeby promocji języka polskiego (status języka polskiego w świecie, nauczanie języka polskiego w środowiskach polonijnych, krajowe ośrodki nauczania JPJO, instytucje i organizacje wspierające nauczanie JPJO w Polsce i poza nią).  Certyfikacja języka polskiego jako obcego. Europejski System Opisu Kształcenia Językowego i jego rola w nauczaniu i testowaniu JPJO. Programy nauczania JPJO. Podręczniki do nauczania JPJO. Wykorzystanie wiedzy językoznawczej (filologicznej) w praktyce nauczania JPJO. Sukces i niepowodzenie w nauczaniu.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24.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Dydaktyka przedmiotowa A (II)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spacing w:line="241" w:lineRule="exact"/>
              <w:ind w:right="34"/>
              <w:jc w:val="both"/>
              <w:rPr>
                <w:rFonts w:cs="Arial Narrow"/>
                <w:b w:val="0"/>
                <w:bCs/>
                <w:kern w:val="2"/>
              </w:rPr>
            </w:pPr>
            <w:r w:rsidRPr="008221DC">
              <w:rPr>
                <w:rFonts w:cs="Arial Narrow"/>
                <w:b w:val="0"/>
                <w:bCs/>
                <w:kern w:val="2"/>
              </w:rPr>
              <w:t xml:space="preserve">Dydaktyka języka i literatury jako rzemiosło, sztuka i nauka. Warsztat pracy nauczyciela języka polskiego; warsztat pracy ucznia. </w:t>
            </w:r>
            <w:r w:rsidRPr="008221DC">
              <w:rPr>
                <w:rFonts w:cs="Arial Narrow"/>
                <w:b w:val="0"/>
                <w:bCs/>
                <w:i/>
                <w:iCs/>
                <w:kern w:val="2"/>
              </w:rPr>
              <w:t>Język polski</w:t>
            </w:r>
            <w:r w:rsidRPr="008221DC">
              <w:rPr>
                <w:rFonts w:cs="Arial Narrow"/>
                <w:b w:val="0"/>
                <w:bCs/>
                <w:kern w:val="2"/>
              </w:rPr>
              <w:t xml:space="preserve">– przedmiot nauczania w liceum i technikum, cele i treści. Kształcenie językowe, literackie i kulturalne </w:t>
            </w:r>
            <w:r w:rsidRPr="008221DC">
              <w:rPr>
                <w:rFonts w:cs="Arial Narrow"/>
                <w:b w:val="0"/>
                <w:bCs/>
              </w:rPr>
              <w:t>a językoznawstwo, literaturoznawstwo, kulturoznawstwo</w:t>
            </w:r>
            <w:r w:rsidRPr="008221DC">
              <w:rPr>
                <w:rFonts w:cs="Arial Narrow"/>
                <w:b w:val="0"/>
                <w:bCs/>
                <w:kern w:val="2"/>
              </w:rPr>
              <w:t>. Rola terminologii. Niektóre metody stosowane w dydaktyce jako nauce. Metody nauczania – skuteczność, typowe błędy, np. heureza pozorna. Niektóre problemy sprawdzania i oceniania wiadomości i umiejętności.</w:t>
            </w:r>
          </w:p>
          <w:p w:rsidR="00B64D0F" w:rsidRPr="008221DC" w:rsidRDefault="00B64D0F" w:rsidP="00B64D0F">
            <w:pPr>
              <w:spacing w:after="0"/>
              <w:ind w:right="34"/>
              <w:jc w:val="both"/>
              <w:rPr>
                <w:b w:val="0"/>
                <w:bCs/>
              </w:rPr>
            </w:pPr>
            <w:r w:rsidRPr="008221DC">
              <w:rPr>
                <w:rFonts w:cs="Arial Narrow"/>
                <w:b w:val="0"/>
                <w:bCs/>
                <w:kern w:val="2"/>
              </w:rPr>
              <w:t xml:space="preserve">Kształcenie językowe - zaniedbana część przedmiotu </w:t>
            </w:r>
            <w:r w:rsidRPr="008221DC">
              <w:rPr>
                <w:rFonts w:cs="Arial Narrow"/>
                <w:b w:val="0"/>
                <w:bCs/>
                <w:i/>
                <w:iCs/>
                <w:kern w:val="2"/>
              </w:rPr>
              <w:t>język polski</w:t>
            </w:r>
            <w:r w:rsidRPr="008221DC">
              <w:rPr>
                <w:rFonts w:cs="Arial Narrow"/>
                <w:b w:val="0"/>
                <w:bCs/>
                <w:kern w:val="2"/>
              </w:rPr>
              <w:t>. Świadomość językowa. Mówione ≈ pisane.  Szkoła wobec gwar.  Kształtowanie pojęć językowych i literackich – trudności, typowe błędy. Uczeń szkoły średniej jako odbiorca dzieł literatury i kultury. Kanon – nonkanon. Rola tradycji; kształtowanie tożsamości; inność, obcość. Wolność i odpowiedzialność w języku, nauczaniu, nauce (dydaktyce).Podmiotowość i współczesność jako najważniejsze czynniki określające rozumienie wypowiedzi i tekstów literackich i nieliterackich. Wrocławska dydaktyka języka i literatury.</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Nowe media w pracy nauczyciela polonisty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b w:val="0"/>
                <w:bCs/>
              </w:rPr>
              <w:t xml:space="preserve">Kultura konwergencji – relacyjność starych i nowych mediów. Produkty medialnego przemysłu jako interpretanty literatury. Otwarte zasoby edukacyjne i licencje. Gamifikacja w procesie nauczania. Gamifikacja literatury. Filmy edukacyjne (np. tutorialowe). </w:t>
            </w:r>
            <w:r w:rsidRPr="008221DC">
              <w:rPr>
                <w:b w:val="0"/>
                <w:bCs/>
                <w:lang w:val="en-GB"/>
              </w:rPr>
              <w:t xml:space="preserve">Blogi, edublogi, vlogi. E-learning (platformy e-learningowe). </w:t>
            </w:r>
            <w:r w:rsidRPr="008221DC">
              <w:rPr>
                <w:b w:val="0"/>
                <w:bCs/>
              </w:rPr>
              <w:t>Media społecznościowe w edukacji.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Praktyka psychologiczno-pedagogiczna w szkole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Nauki pomocniczne historii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rFonts w:cs="Arial"/>
                <w:b w:val="0"/>
                <w:bCs/>
              </w:rPr>
              <w:t>Klasyczny kanon nauk pomocniczych historii (chronologia, dyplomatyka, genealogia, heraldyka, paleografia, sfragistyka) oraz wybrane zagadnienia ze źródłoznawstwa nowożytnego i współczesnego (źródła narracyjne, audiowizualne, prasa).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rPr>
                <w:bCs/>
              </w:rPr>
              <w:t>Szkoły i kierunki w językoznawstwie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b w:val="0"/>
                <w:bCs/>
              </w:rPr>
              <w:t>Zróżnicowanie językowe świata. Hierarchiczna struktura języka. Stosunki syntagmatyczne i paradygmatyczne w języku. Typologie języków (geograficzne, genealogiczne, według podsystemów języka).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29.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rPr>
                <w:bCs/>
              </w:rPr>
              <w:t>Teksty i gatunki mowy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rPr>
            </w:pPr>
            <w:r w:rsidRPr="008221DC">
              <w:rPr>
                <w:b w:val="0"/>
              </w:rPr>
              <w:t>Zróżnicowanie gatunkowe uniwersum mowy w perspektywie genologii lingwistycznej. Wzorzec językowy i  jego konkretyzacja. Warianty wzorca. Ewolucja gatunku mowy, stałość i zmienność gatunków, kontaminacja. Struktura tekstu mówionego.</w:t>
            </w:r>
          </w:p>
          <w:p w:rsidR="00B64D0F" w:rsidRPr="008221DC" w:rsidRDefault="00B64D0F" w:rsidP="00B64D0F">
            <w:pPr>
              <w:spacing w:after="0"/>
              <w:ind w:right="34"/>
              <w:jc w:val="both"/>
              <w:rPr>
                <w:b w:val="0"/>
              </w:rPr>
            </w:pPr>
            <w:r w:rsidRPr="008221DC">
              <w:rPr>
                <w:b w:val="0"/>
              </w:rPr>
              <w:lastRenderedPageBreak/>
              <w:t>Tekst i jego delimitacja. Działania na tekście – mechanizmy streszczania, spis treści, wybór słów kluczowych.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lastRenderedPageBreak/>
              <w:t>30.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Leksykografia i leksyka dawna i współczesna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rPr>
            </w:pPr>
            <w:r w:rsidRPr="008221DC">
              <w:rPr>
                <w:b w:val="0"/>
              </w:rPr>
              <w:t>Geneza i rozwój słownictwa polskiego. Charakterystyka zasobu leksykalnego polszczyzny w poszczególnych dobach jej rozwoju. Słownictwo zróżnicowane chronologicznie. Kontakty językowe – zapożyczenia obce w polszczyźnie dawnej i współczesnej.  Tendencje rozwojowe leksyki polskiej w dobie najnowszej. leksyka ogólna. Wykorzystywanie metod językoznawstwa statystycznego w badaniu leksyki.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31.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Lingwistyczne fundamenty literatury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rPr>
            </w:pPr>
            <w:r w:rsidRPr="008221DC">
              <w:rPr>
                <w:b w:val="0"/>
              </w:rPr>
              <w:t>Język naturalny a język literacki; język poezji a język poetycki. Styl językowy a styl literacki. Semantyka języka a semantyka literatury. Analiza tekstu literackiego: słownik, kompendium specjalistyczne, encyklopedia.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32.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hd w:val="clear" w:color="auto" w:fill="FFFFFF"/>
              <w:spacing w:after="0"/>
              <w:ind w:right="0"/>
              <w:rPr>
                <w:rFonts w:eastAsia="Times New Roman" w:cs="Calibri"/>
              </w:rPr>
            </w:pPr>
            <w:r w:rsidRPr="00B64D0F">
              <w:rPr>
                <w:rFonts w:eastAsia="Times New Roman" w:cs="Calibri"/>
                <w:bCs/>
              </w:rPr>
              <w:t>Przedsiębiorczość. Praca - biznes - kariera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b w:val="0"/>
              </w:rPr>
            </w:pPr>
            <w:r w:rsidRPr="008221DC">
              <w:rPr>
                <w:rFonts w:eastAsia="Times New Roman" w:cs="Calibri"/>
                <w:b w:val="0"/>
              </w:rPr>
              <w:t>Krajowy i (odpowiednio) międzynarodowy rynek pracy. Pracodawcy na krajowym i międzynarodowym rynku pracy. Prawo pracy i prawa pracownicze, ze szczególnym uwzględnieniem samozatrudnienia, firm jednoosobowych, wypełniania funkcji pracodawcy. Zarządzanie zasobami ludzkimi - katalog technik i strategii. Wyspecjalizowane procedury rekrutacji do pracy (np. techniki assesmentcenter). Zaawansowane procesy psychologii pracy (ze szczególnym uwzględnieniem higieny pracy i wypalenia zawodowego). Uregulowania na rynku pracy związane z ochroną praw pracowniczych (dyskryminacji i mobbingu). Komunikacja międzykulturowa w międzynarodowym zespole pracowniczym.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33.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pPr>
            <w:r w:rsidRPr="00B64D0F">
              <w:t>Mit – alegoria – symbol w literaturze XIX wieku</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rPr>
            </w:pPr>
            <w:r w:rsidRPr="008221DC">
              <w:rPr>
                <w:rFonts w:cs="Arial Narrow"/>
                <w:b w:val="0"/>
              </w:rPr>
              <w:t>Szczegółowa analiza i interpretacja materiału literackiego I połowy XIX w. Utrwalenie wiadomości na temat sporu romantyków z klasykami, programów. Ukazanie tendencji estetycznych (gotycyzm, frenezja, ironia, romantyczna). Prezentacja grup i formacji literackich. Interpretacja ideowych aspektów i konwencji tematycznych. Przegląd ewolucji gatunków romantycznych. Rozwój wiadomości na temat wybranych problemów życia literackiego na emigracji i w kraju.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34.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t>W kręgu mitów polskich</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rPr>
            </w:pPr>
            <w:r w:rsidRPr="008221DC">
              <w:rPr>
                <w:rFonts w:cs="Arial Narrow"/>
                <w:b w:val="0"/>
              </w:rPr>
              <w:t xml:space="preserve">Teoretyczne podstawy wiedzy o micie kulturowym, historycznym i politycznym. Omówienie funkcji, znaczenia, ewolucji oraz procesu utrwalania i kolportowania polskich mitów założycielskich. Omówienie genezy, ewolucji, zakresu oddziaływania i znaczenia wybranych polskich mitów bohaterskich. Omówienie wpływu literatury polskiej na proces waloryzacji oraz zakres oddziaływania mitów powstańczych i solidarystycznych.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35.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Tekstologia i edytorstwo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Zajęcia poświęcone są przygotowaniu koncepcji oraz zrealizowaniu pracy dyplomowej – niewielkiego druku (akcydens, gazetka, książka–arkusz) prezentującego dzieje wybranego motywu literackiego lub materialnego i łączącego tekst z ikonografią. Zadanie ma potwierdzić umiejętności studenta (pomysł, koncepcja, projekt, wykonanie), uzyskane w toku wszystkich zajęć edytorskich. Dokumentować ma jego zdolność do samodzielnego kreowania projektów wydawniczych, krytycznej ich oceny, wyboru spośród alternatywnych propozycji. Przekonywać o stosowności dobranych konwencji i narzędzi edytorskich, umiejętności ich poprawnego użycia, walorach estetycznych i poznawczych tworzonej publikacji. Sprawdzić zdolność do publicznej prezentacji pracy z dyskusją (obroną).</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36.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Współczesne edytorstwo książki i czasopisma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 xml:space="preserve">Współczesna książka: typowe i nietypowe formaty, oprawy, materiały, kształtowanie okładki; książka ilustrowana; zasady typowego opracowania edytorskiego: czwórka tytułowa, teksty wprowadzające, materiały pomocnicze; proces poligraficzny: skład, łamanie, montaż, naświetlanie, druk i oprawa; technologia druku na żądanie; proces wydawniczy: umowa wydawnicza, recenzja, przyjęcie pracy, redakcja, projekt graficzny i opracowanie techniczne, korekty; forma prawna współczesnych domów wydawniczych; struktura firm wydawniczych: zarząd, dział nabywania tytułów, redakcje, dział handlowy, </w:t>
            </w:r>
            <w:r w:rsidRPr="008221DC">
              <w:rPr>
                <w:rFonts w:cs="Arial Narrow"/>
                <w:b w:val="0"/>
                <w:bCs/>
              </w:rPr>
              <w:lastRenderedPageBreak/>
              <w:t>dział marketingu, obrót prawami zależnymi; organizacja pracy: ścieżka redakcji, ścieżka marketingu, plany tytułowe.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lastRenderedPageBreak/>
              <w:t>37.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Redakcja tekstu</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bCs/>
              </w:rPr>
            </w:pPr>
            <w:r w:rsidRPr="008221DC">
              <w:rPr>
                <w:rFonts w:cs="Arial Narrow"/>
                <w:b w:val="0"/>
                <w:bCs/>
              </w:rPr>
              <w:t>Liczby, numery, jednostki miar i wielkości mierzalne w różnych typach tekstów. Zasady kompozycji publikacji. Typowe problemy redakcyjne związane z wprowadzaniem cytatów.</w:t>
            </w:r>
          </w:p>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Przykłady materiałów uzupełniających tekst główny. Sposoby konstruowania przypisów. Zasady sporządzania bibliografii. Różne typy materiałów wprowadzających do publikacji i jej części.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38.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Kulturowa historia sztuki filmowej</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B64D0F" w:rsidRDefault="00B64D0F" w:rsidP="00B64D0F">
            <w:pPr>
              <w:pStyle w:val="Akapitzlist1"/>
              <w:spacing w:line="100" w:lineRule="atLeast"/>
              <w:ind w:left="0" w:right="34"/>
              <w:jc w:val="both"/>
              <w:rPr>
                <w:rFonts w:ascii="Verdana" w:hAnsi="Verdana"/>
                <w:bCs/>
                <w:sz w:val="20"/>
                <w:szCs w:val="20"/>
              </w:rPr>
            </w:pPr>
            <w:r w:rsidRPr="00B64D0F">
              <w:rPr>
                <w:rFonts w:ascii="Verdana" w:hAnsi="Verdana"/>
                <w:bCs/>
                <w:sz w:val="20"/>
                <w:szCs w:val="20"/>
              </w:rPr>
              <w:t xml:space="preserve">Amerykański western lat 50., 60. I 70. XX wieku: od nadwesternu. Nowa Fala francuska: projekt krytyczno-teoretyczny AndrèBazina oraz SigfriedaKracauera; twórczość nowofalowa Jeana-Luka Godarda i François Truffaut. Brytyjskie </w:t>
            </w:r>
            <w:r w:rsidRPr="00B64D0F">
              <w:rPr>
                <w:rFonts w:ascii="Verdana" w:hAnsi="Verdana"/>
                <w:bCs/>
                <w:i/>
                <w:sz w:val="20"/>
                <w:szCs w:val="20"/>
              </w:rPr>
              <w:t>Free Cinema</w:t>
            </w:r>
            <w:r w:rsidRPr="00B64D0F">
              <w:rPr>
                <w:rFonts w:ascii="Verdana" w:hAnsi="Verdana"/>
                <w:bCs/>
                <w:sz w:val="20"/>
                <w:szCs w:val="20"/>
              </w:rPr>
              <w:t>: kontestacyjna twórczość Lindsaya Andersona (</w:t>
            </w:r>
            <w:r w:rsidRPr="00B64D0F">
              <w:rPr>
                <w:rFonts w:ascii="Verdana" w:hAnsi="Verdana"/>
                <w:bCs/>
                <w:i/>
                <w:sz w:val="20"/>
                <w:szCs w:val="20"/>
              </w:rPr>
              <w:t>Jeżeli…</w:t>
            </w:r>
            <w:r w:rsidRPr="00B64D0F">
              <w:rPr>
                <w:rFonts w:ascii="Verdana" w:hAnsi="Verdana"/>
                <w:bCs/>
                <w:sz w:val="20"/>
                <w:szCs w:val="20"/>
              </w:rPr>
              <w:t>), Karela Reisza (</w:t>
            </w:r>
            <w:r w:rsidRPr="00B64D0F">
              <w:rPr>
                <w:rFonts w:ascii="Verdana" w:hAnsi="Verdana"/>
                <w:bCs/>
                <w:i/>
                <w:sz w:val="20"/>
                <w:szCs w:val="20"/>
              </w:rPr>
              <w:t>Z soboty na niedzielę</w:t>
            </w:r>
            <w:r w:rsidRPr="00B64D0F">
              <w:rPr>
                <w:rFonts w:ascii="Verdana" w:hAnsi="Verdana"/>
                <w:bCs/>
                <w:sz w:val="20"/>
                <w:szCs w:val="20"/>
              </w:rPr>
              <w:t>), Tony’ego Richardsona (</w:t>
            </w:r>
            <w:r w:rsidRPr="00B64D0F">
              <w:rPr>
                <w:rFonts w:ascii="Verdana" w:hAnsi="Verdana"/>
                <w:bCs/>
                <w:i/>
                <w:sz w:val="20"/>
                <w:szCs w:val="20"/>
              </w:rPr>
              <w:t>Samotność długodystansowca</w:t>
            </w:r>
            <w:r w:rsidRPr="00B64D0F">
              <w:rPr>
                <w:rFonts w:ascii="Verdana" w:hAnsi="Verdana"/>
                <w:bCs/>
                <w:sz w:val="20"/>
                <w:szCs w:val="20"/>
              </w:rPr>
              <w:t xml:space="preserve">). Kino kontestacji w USA: od </w:t>
            </w:r>
            <w:r w:rsidRPr="00B64D0F">
              <w:rPr>
                <w:rFonts w:ascii="Verdana" w:hAnsi="Verdana"/>
                <w:bCs/>
                <w:i/>
                <w:sz w:val="20"/>
                <w:szCs w:val="20"/>
              </w:rPr>
              <w:t xml:space="preserve">Cieni </w:t>
            </w:r>
            <w:r w:rsidRPr="00B64D0F">
              <w:rPr>
                <w:rFonts w:ascii="Verdana" w:hAnsi="Verdana"/>
                <w:bCs/>
                <w:sz w:val="20"/>
                <w:szCs w:val="20"/>
              </w:rPr>
              <w:t xml:space="preserve"> (1959) Johna Cassavetesa do </w:t>
            </w:r>
            <w:r w:rsidRPr="00B64D0F">
              <w:rPr>
                <w:rFonts w:ascii="Verdana" w:hAnsi="Verdana"/>
                <w:bCs/>
                <w:i/>
                <w:sz w:val="20"/>
                <w:szCs w:val="20"/>
              </w:rPr>
              <w:t xml:space="preserve">Swobodnego jeźdźca </w:t>
            </w:r>
            <w:r w:rsidRPr="00B64D0F">
              <w:rPr>
                <w:rFonts w:ascii="Verdana" w:hAnsi="Verdana"/>
                <w:bCs/>
                <w:sz w:val="20"/>
                <w:szCs w:val="20"/>
              </w:rPr>
              <w:t xml:space="preserve"> (1969) Dennisa Hoppera.Film gangsterski, film czarny – kontynuacja w kinie USA oraz Europy. Postmodernizm filmowy: główne cechy kina postmodernistycznego i jego główne wątki tematyczno-myślowe jako ekspresja ducha ponowoczesności (filmy braci Cohenów, Zbigniewa Rybczyńskiego, Quentina Tarantino i in.).</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39.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Mistrzowie kina amerykańskiego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Verdana"/>
                <w:b w:val="0"/>
                <w:bCs/>
              </w:rPr>
            </w:pPr>
            <w:r w:rsidRPr="008221DC">
              <w:rPr>
                <w:rFonts w:cs="Verdana"/>
                <w:b w:val="0"/>
                <w:bCs/>
              </w:rPr>
              <w:t>Święci i potępieńcy w twórczości Martina Scorsese.  Filozoficzne komedia Woody’ego Alena.  Nostalgia, elegijność i poetyka absurdu egzystencjalistycznych przypowieściach Braci Coenów. Czy Quentin Tarantino – arcymistrz kina pop-postmodernistycznego – ma coś istotnego do powiedzenia? Jim Jarmusch I kino niezależne. Davida Lyncha “kino o śmierci”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Dramaturgia filmowa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widowControl w:val="0"/>
              <w:autoSpaceDE w:val="0"/>
              <w:autoSpaceDN w:val="0"/>
              <w:adjustRightInd w:val="0"/>
              <w:spacing w:after="0"/>
              <w:ind w:right="34"/>
              <w:jc w:val="both"/>
              <w:rPr>
                <w:rFonts w:cs="Georgia"/>
                <w:b w:val="0"/>
                <w:bCs/>
                <w:position w:val="-1"/>
              </w:rPr>
            </w:pPr>
            <w:r w:rsidRPr="008221DC">
              <w:rPr>
                <w:rFonts w:cs="Georgia"/>
                <w:b w:val="0"/>
                <w:bCs/>
                <w:position w:val="-1"/>
              </w:rPr>
              <w:t xml:space="preserve">Poetyka filmu – repetytorium: struktura dzieła filmowego (styl, kompozycja) i jego funkcja, genologia filmowa. Film a literatura –zależności, wpływy, niebezpieczne związki. </w:t>
            </w:r>
            <w:r w:rsidRPr="008221DC">
              <w:rPr>
                <w:b w:val="0"/>
                <w:bCs/>
              </w:rPr>
              <w:t>Film a teatr – dramatyzacja działalności, sztuka manipulowania wrażeniami, techniki manipulowania emocjami.</w:t>
            </w:r>
            <w:r w:rsidRPr="008221DC">
              <w:rPr>
                <w:rFonts w:cs="Georgia"/>
                <w:b w:val="0"/>
                <w:bCs/>
                <w:position w:val="-1"/>
              </w:rPr>
              <w:t xml:space="preserve"> Problematyka scenariusza filmowego –jako adaptacji dzieła filmowego, historia scenariusza, fazy jego powstawania. Figury stylistyczne narracji filmowej. Zasady budowania akcji, postaci, dialogu. Poetyka filmowego modernizmu. Mechanizmy dramaturgii w </w:t>
            </w:r>
            <w:r w:rsidRPr="008221DC">
              <w:rPr>
                <w:rFonts w:cs="Georgia"/>
                <w:b w:val="0"/>
                <w:bCs/>
                <w:i/>
                <w:position w:val="-1"/>
              </w:rPr>
              <w:t>slowcinema</w:t>
            </w:r>
            <w:r w:rsidRPr="008221DC">
              <w:rPr>
                <w:rFonts w:cs="Georgia"/>
                <w:b w:val="0"/>
                <w:bCs/>
                <w:position w:val="-1"/>
              </w:rPr>
              <w:t>. Przypadek  jako kategoria artystyczna i egzystencjalna w kinie. Subiektywizacja narracji filmowej. Intertekstualność scenariusza filmowego. Analizy dramaturgiczne wybranych filmów.  Analizy dramaturgiczne wybranych scenariuszy.</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Literatura dziecięca i młodzieżowa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autoSpaceDN w:val="0"/>
              <w:adjustRightInd w:val="0"/>
              <w:spacing w:after="0"/>
              <w:ind w:right="34"/>
              <w:jc w:val="both"/>
              <w:rPr>
                <w:b w:val="0"/>
                <w:bCs/>
              </w:rPr>
            </w:pPr>
            <w:r w:rsidRPr="008221DC">
              <w:rPr>
                <w:b w:val="0"/>
                <w:bCs/>
              </w:rPr>
              <w:t>Podstawowe pojęcia związane z literaturą dla młodego odbiorcy:  jej historia i funkcje (tu: m.in.  autorzy – teksty - tematy – kanony). Literatura dla dzieci jako obszar badań interdyscyplinarnych (słowo i obraz – relacje intersemiotyczne, adaptacje filmowe, teatralne - gest, konteksty muzyczne). Literatura dla dzieci i młodzieży w szkolnych kanonach i w podręcznikach szkolnych – dawniej i dziś. Baśń jako gatunek – przemiany wariantów baśniowych, reinterpretacje i adaptacje pop-kulturowe. Bohater literatury dla dzieci i młodzieży – dawniej i dziś. Konteksty socjo-kulturowe literatury dla dzieci (np. pojęcie tożsamości). Kategorie i gatunki np. poezja dla dzieci, fantastyka, powieści obyczajowe, literatura popularnonaukowa. Współczesna proza dla dzieci i młodzieży: tematy i tendencje. W stronę fantasy. Funkcje edukacyjne literatury dla dzieci na wybranych przykładach – teoria i praktyka odbioru.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Kształcenie kulturowe. Co to jest wielokulturowość?</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ind w:left="0" w:right="34"/>
              <w:jc w:val="both"/>
              <w:rPr>
                <w:rFonts w:cs="Arial Narrow"/>
                <w:b w:val="0"/>
                <w:bCs/>
              </w:rPr>
            </w:pPr>
            <w:r w:rsidRPr="008221DC">
              <w:rPr>
                <w:b w:val="0"/>
                <w:bCs/>
              </w:rPr>
              <w:t>Kształcenie kulturowe w szkolnej edukacji polonistycznej: interdyscyplinarność badań; tekst kultury w szkole – teoria i praktyka odbioru (np. edukacja teatralna, filmowa, muzyczna, edukacja poprzez obraz, słowo a obraz; czytanie obrazu; komiks w edukacji polonistycznej,  literatura i fotografia, reklama itd.); elementy socjologii literatury i kultury literackiej (S. Żółkiewski); adaptacje filmowe i teatralne; tożsamość (narodowa, regionalna, etniczna, religijna) – polskość i europejskość; wielokulturowość i tolerancja dla inności; kultura popularna w szkole; współczesne życie kulturalne (wizyty w instytucjach kultury miasta Wrocławia).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lastRenderedPageBreak/>
              <w:t>43.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 xml:space="preserve">Promocja i reklama, media.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b w:val="0"/>
                <w:bCs/>
              </w:rPr>
              <w:t>Perswazja jako celowe wpływanie na zachowania, wzmacnianie postaw, zmianę postaw i zachowań. Psychologiczne, socjologiczne i językoznawcze aspekty badań nad perswazją. Bezpośrednie i pośrednie formy oddziaływań perswazyjnych. Reklama jako narzędzie marketingu i promocji. Krótka historia reklamy. Tekst reklamowy jako gatunek. Budowa i funkcje komunikatu reklamowego. Reklama a perswazja. Podstawowe mechanizmy perswazyjne. Społeczeństwo i media masowe. Narzędzia i techniki reklamy, strategie komunikacyjne. Odbiór komunikatu reklamowego. Zróżnicowanie argumentacji ze względu za rodzaje audytoriów. Kreowanie obrazów świata w tekstach reklamowych. Rola emocji w reklamie. Topika reklamowa. Schematy ramowe w reklamie. Intertekstualność reklamy – nawiązania kulturowe.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Projekty i wnioski dotacyjne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Style w:val="nl2br-paragraph"/>
                <w:b w:val="0"/>
                <w:bCs/>
              </w:rPr>
              <w:t>Wzmocnienie wiedzy humanistycznej o kompetencje kulturowe, medialne i społeczne, o praktykę edukacji nieformalnej, wskazanie na jej interkulturowy wymiar, pokazanie możliwości trzeciego sektora i umiejętność poruszania się po obszarach dotacji.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Historia krytyki literackiej XX w.</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spacing w:after="0"/>
              <w:ind w:right="34"/>
              <w:jc w:val="both"/>
              <w:rPr>
                <w:rFonts w:cs="Arial Narrow"/>
                <w:b w:val="0"/>
                <w:bCs/>
              </w:rPr>
            </w:pPr>
            <w:r w:rsidRPr="008221DC">
              <w:rPr>
                <w:rFonts w:cs="Arial Narrow"/>
                <w:b w:val="0"/>
                <w:bCs/>
              </w:rPr>
              <w:t>Pojęcie i zarys historii krytyki literackiej. Krytyka w epoce romantyzmu, pozytywizmu, w okresie Młodej Polski: ekspresja i empatia. Retoryka krytycznoliteracka w okresie Młodej Polski. Główni przedstawiciele krytyki Dwudziestolecia Międzywojennego. Spór o biografizm w Dwudziestoleciu. Spór o formalizm w Dwudziestoleciu. Krytyka wobec tradycji. Nurt personalistyczny w krytyce. Krytyka i krytycy podczas  okupacji. Funkcje powojennej krytyki literackiej: ekspresywna i estetyczno-ludyczna. Funkcja problematyzująca powojennej krytyki. Funkcja oceniająca powojennej krytyki literackiej. Krytyka wobec publiczności literackiej.</w:t>
            </w:r>
          </w:p>
        </w:tc>
      </w:tr>
      <w:tr w:rsidR="00B64D0F" w:rsidRPr="00B64D0F" w:rsidTr="008221DC">
        <w:trPr>
          <w:trHeight w:val="359"/>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Poezja po roku 1986</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b w:val="0"/>
                <w:bCs/>
              </w:rPr>
            </w:pPr>
            <w:r w:rsidRPr="008221DC">
              <w:rPr>
                <w:b w:val="0"/>
                <w:bCs/>
              </w:rPr>
              <w:t>Przedstawienie najistotniejszych tendencji w poezji polskiej po roku 1986, zarówno w wierszach i tomach poetyckich debiutantów końca lat osiemdziesiątych (a także u debiutujących w kolejnych dekadach), jak i w twórczości autorów starszych. Omówienie literatury alternatywnej wobec obiegu oficjalnego i podziemnego. Przedstawienie „bruLionu” – nowego pomysłu na pismo literackie. Analiza śladów przełomu lat 80. i 90. w poezji – przełom czy zmiana? Klasycyści, barbarzyńcy – czy jesteśmy skazani na dwuliniowość w literaturze? Uporządkowanie nowych mód, nowych (i pozornie nowych) inspiracji literackich; Prezentacja „osobnych” – Jaworski, Sendecki, Foks. Prezentacja „poetów życia”. Zapoznanie z „rocznikami siedemdziesiątymi” – spadkobiercy i kontynuatorzy czy rewelatorzy i buntownicy? Wielość w jedności? – urodzeni w latach osiemdziesiątych.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Poezja. Warsztat krytyczny z elementami twórczego pisania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spacing w:after="0"/>
              <w:ind w:right="34"/>
              <w:jc w:val="both"/>
              <w:rPr>
                <w:rFonts w:cs="Arial Narrow"/>
                <w:b w:val="0"/>
                <w:bCs/>
              </w:rPr>
            </w:pPr>
            <w:r w:rsidRPr="008221DC">
              <w:rPr>
                <w:rStyle w:val="wrtext"/>
                <w:b w:val="0"/>
                <w:bCs/>
              </w:rPr>
              <w:t>Pogłębienie i uszczegółowienie wiedzy studentów na temat najważniejszych zjawisk z zakresu literatury (tu poezji), kultury, życia literackiego związanego z okresem po przemianie ustrojowej w Polsce (1989r.), z uwzględnieniem najważniejszych elementów debaty krytycznoliterackiej lat 90. wieku XX i lat pierwszych wieku XXI. Pogłębienie i uszczegółowienie wiedzy studentów na temat mediów, instytucji i rynku kultury oraz przekazanie wiedzy na temat specyfiki i miejsca debaty krytycznoliterackiej w życiu kulturalnym w Polsce. Ukształtowanie umiejętności krytycznej analizy, interpretacji i oceny nowych i najnowszych dzieł literackich, a także tendencji i przemian w nowej literaturze, również w odniesieniu do jej miejsca w komunikacji społecznej i na rynku wydawniczym. Ukształtowanie umiejętności formułowania krytycznych sądów, jak i opracowania wyników pracy krytycznoliterackiej w formie pisanej (noty, recenzji, szkicu krytycznoliterackiego). Wpojenie nawyku uczestniczenia w życiu kulturalnym, świadomego kształtowania i pielęgnowania własnych upodobań kulturalnych.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48.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Literatura w kulturze popularnej</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autoSpaceDN w:val="0"/>
              <w:adjustRightInd w:val="0"/>
              <w:ind w:right="34"/>
              <w:jc w:val="both"/>
              <w:rPr>
                <w:rFonts w:cs="Verdana"/>
                <w:b w:val="0"/>
                <w:bCs/>
              </w:rPr>
            </w:pPr>
            <w:r w:rsidRPr="008221DC">
              <w:rPr>
                <w:rFonts w:cs="Verdana"/>
                <w:b w:val="0"/>
                <w:bCs/>
              </w:rPr>
              <w:t xml:space="preserve">Formy literackie w popkulturze i jej kanałach dystrybucji. </w:t>
            </w:r>
            <w:r w:rsidRPr="008221DC">
              <w:rPr>
                <w:rFonts w:cs="Verdana"/>
                <w:b w:val="0"/>
                <w:bCs/>
                <w:lang w:val="en-US"/>
              </w:rPr>
              <w:t>Znanepowieści z expanded universe.Literatura a film, serial.</w:t>
            </w:r>
            <w:r w:rsidRPr="008221DC">
              <w:rPr>
                <w:rFonts w:cs="Verdana"/>
                <w:b w:val="0"/>
                <w:bCs/>
              </w:rPr>
              <w:t xml:space="preserve">  Literatura a gry. Literatura a komiks. Rola literatury w kampaniach reklamowych. Projektowanie tekstów pod konkretne marki, uniwersa oraz systemy rozrywkowe. Tekst a kadr, tekst a </w:t>
            </w:r>
            <w:r w:rsidRPr="008221DC">
              <w:rPr>
                <w:rFonts w:cs="Verdana"/>
                <w:b w:val="0"/>
                <w:bCs/>
              </w:rPr>
              <w:lastRenderedPageBreak/>
              <w:t>mechanika, tekst a fandom.</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lastRenderedPageBreak/>
              <w:t>49.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 xml:space="preserve">Lingwistyczne podstawy nauczania JPJO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b w:val="0"/>
                <w:bCs/>
              </w:rPr>
              <w:t>Deklinacje: funkcje i repartycja końcówek. Funkcjonalne podstawy podziału czasowników na koniugacje. Czas przeszły – różne poziomy zaawansowania. Aspekt, także po czasownikach modalnych i w trybie rozkazującym. Nominalne formy czasownika i ich funkcje. Formy nieosobowe a strona bierna; czasowniki niefleksyjne. Rekcja czasowników i przymiotników – różne poziomy zaawansowania. Funkcje i rekcja przyimków – na tle porównawczym. Fleksja i funkcje zaimków, liczebników; rzeczowniki odliczebnikowe. Operatory ideacyjne, interakcyjne i tekstowe. Aktualizatory czasu i miejsca – różne poziomy zaawansowania. Podstawy parafrazowania – transformacje składniowe.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Metodyka nauczania podsystemów językowych</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bCs/>
              </w:rPr>
            </w:pPr>
            <w:r w:rsidRPr="008221DC">
              <w:rPr>
                <w:rFonts w:cs="Arial Narrow"/>
                <w:b w:val="0"/>
                <w:bCs/>
              </w:rPr>
              <w:t>Standardy wymagań egzaminacyjnych. Programy nauczania JPJO. Lekcja JPJO. Nauczanie gramatyki. Nauczanie gramatyki. Nauczanie słownictwa i frazeologii. Praca nad tekstem: standardy i typy tekstów; nauczanie redakcji tekstów użytkowych i innych dla cudzoziemców na różne poziomy zaawansowania (elementy praktycznej stylistyki), nauczanie kultury polskiej cudzoziemców, prezentacja przykładowych rozwiązań metodycznych z zakresu pracy nad tekstem dla początkujących i średnio zaawansowanych, wykorzystanie tekstów literackich i oryginalnych w nauczaniu jpjo (wybory ćwiczeń, preparacja tekstu), prezentacja przykładowych rozwiązań metodycznych z zakresu pracy nad tekstem dla zaawansowanych.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Nauczanie wiedzy o Polsce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bCs/>
              </w:rPr>
            </w:pPr>
            <w:r w:rsidRPr="008221DC">
              <w:rPr>
                <w:rFonts w:cs="Arial Narrow"/>
                <w:b w:val="0"/>
                <w:bCs/>
              </w:rPr>
              <w:t>Programy nauczania wiedzy o Polsce i zalecenia zawarte w europejskim systemie kształcenia językowego. Przegląd technik i typów zadań przydatnych przy nauczaniu wiedzy o Polsce w kształceniu cudzoziemców. Kryteria doboru bodźców i pomocy dydaktycznych. Sporządzenie scenariusza lekcji opartej na materiale kulturowym.</w:t>
            </w:r>
          </w:p>
        </w:tc>
      </w:tr>
      <w:tr w:rsidR="00B64D0F" w:rsidRPr="00B64D0F" w:rsidTr="008221DC">
        <w:trPr>
          <w:trHeight w:val="1031"/>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Praktyka lektorska (I)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Style w:val="nl2br-paragraph"/>
                <w:b w:val="0"/>
                <w:bCs/>
              </w:rPr>
              <w:t>Metody nauczania cudzoziemców języka polskiego jako obcego/drugiego (mówienia, rozumienia ze słuchu, rozumienia tekstu pisanego, pisania oraz  gramatyki), potrafią pracować z grupami wielonarodowościowymi i wielokulturowymi, być mediatorami i przekazicielami kultury polskiej.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Kształcenie kulturowe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B64D0F" w:rsidRDefault="00B64D0F" w:rsidP="00B64D0F">
            <w:pPr>
              <w:pStyle w:val="NormalnyWeb"/>
              <w:spacing w:before="0" w:beforeAutospacing="0" w:after="60"/>
              <w:ind w:right="34"/>
              <w:jc w:val="both"/>
              <w:rPr>
                <w:rFonts w:ascii="Verdana" w:hAnsi="Verdana"/>
                <w:bCs/>
                <w:sz w:val="20"/>
                <w:szCs w:val="20"/>
              </w:rPr>
            </w:pPr>
            <w:r w:rsidRPr="00B64D0F">
              <w:rPr>
                <w:rFonts w:ascii="Verdana" w:hAnsi="Verdana"/>
                <w:bCs/>
                <w:sz w:val="20"/>
                <w:szCs w:val="20"/>
              </w:rPr>
              <w:t>Teoretyczne podstawy dyskursu wielokulturowości, pojęcia tożsamości kulturowej, relatywizmu kulturowego, fundamentalizmu, etnocentryzmu (Charles Taylor, Richard Rorty, Andrzej Szahaj): Czy możemy naprawdę zrozumieć inne kultury? Co to jest wielokulturowość butikowa? etc. Polityczne, etyczne i religijne konsekwencje wielokulturowości: Czy polityczna poprawność to coś złego czy dobrego? Co to jest akcja afirmatywna? Czy wszystkie kultury są sobie równe? Jeśli tak, to jak rozstrzygać konflikty między nimi? (dotyczące np. karykatur Mahometa, rytualnej klitoridektomii) Jeśli nie, to kto i w jaki sposób określa, która jest lepsza, a która gorsza? Czy powinno się chronić autonomiczność kultur, czy też zachęcać do ich mieszania się? Co to jest orientalizm (w ujęciu E. Saida)? Co to jest postkolonializm? Wielokulturowość w kontekście polskim - ze szczególnym uwzględnieniem Dolnego Śląska (tutaj przewidziane spotkania z zaproszonymi na zajęcia przedstawicielami mniejszości kulturowych).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 xml:space="preserve">Dydaktyka przedmiotowa (II)A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spacing w:line="241" w:lineRule="exact"/>
              <w:ind w:right="34"/>
              <w:jc w:val="both"/>
              <w:rPr>
                <w:rFonts w:cs="Arial Narrow"/>
                <w:b w:val="0"/>
                <w:bCs/>
              </w:rPr>
            </w:pPr>
            <w:r w:rsidRPr="008221DC">
              <w:rPr>
                <w:rFonts w:cs="Arial Narrow"/>
                <w:b w:val="0"/>
                <w:bCs/>
              </w:rPr>
              <w:t xml:space="preserve">Podstawa programowa języka polskiego </w:t>
            </w:r>
            <w:r w:rsidRPr="008221DC">
              <w:rPr>
                <w:rFonts w:eastAsia="Arial Narrow" w:cs="Arial Narrow"/>
                <w:b w:val="0"/>
                <w:bCs/>
              </w:rPr>
              <w:t>i</w:t>
            </w:r>
            <w:r w:rsidRPr="008221DC">
              <w:rPr>
                <w:rFonts w:cs="Arial Narrow"/>
                <w:b w:val="0"/>
                <w:bCs/>
              </w:rPr>
              <w:t xml:space="preserve"> zawarte w niej cele i treści kształcenia językowego.  Zagadnienia językowe w programach nauczania, podręcznikach, rozkładach materiału, scenariuszach lekcji. Poznanie głównych koncepcji dydaktyki języka. Wrocławska dydaktyka języka.    Podmiotowość ucznia i nauczyciela. Kształtowanie właściwych dla roli nauczyciela języka polskiego postaw wobec ucznia i przedmiotu.  Treści kształcenia językowego. Komunikacja językowa. Gatunki i akty mowy. Etyka mówienia. Manipulacja. Odpowiedzialność lub nieodpowiedzialność w języku. Potoczność. Metafory.   Metodyka ćwiczeń w słuchaniu, mówieniu, czytaniu, pisaniu.  Tworzenie wypowiedzi i tekstu w różnym celu, gatunku, stylu. Poprawna wymowa i ortografia.  Metody kształcenia sprawności językowej. Lekcje </w:t>
            </w:r>
            <w:r w:rsidRPr="008221DC">
              <w:rPr>
                <w:rFonts w:cs="Arial Narrow"/>
                <w:b w:val="0"/>
                <w:bCs/>
              </w:rPr>
              <w:lastRenderedPageBreak/>
              <w:t>języka i o języku. Konspekt lekcji. Integracja kształcenia językowego z literackim i kulturalnym. Wypowiedź i tekst głównymi środkami integracji, nauczania. Odbiór wypowiedzi i tekstów różnych gatunkowo i stylistycznie.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lastRenderedPageBreak/>
              <w:t>55.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Dydaktyka przedmiotowa (II) B</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b w:val="0"/>
                <w:bCs/>
              </w:rPr>
              <w:t>Dydaktyka historii jako nauka, jej struktura, podstawy merytoryczne i metodologiczne, zadania i funkcje. Powiązania historii z naukami humanistycznymi (w tym z socjologią i kulturą) oraz pedagogicznymi (zależności formalne, merytoryczne i metodologiczne); perspektywy oglądu zagadnień: ludzie i miejsca, chronologia wydarzeń, współczesność; rola mapy, źródeł i osi czasu; czynniki determinujące s</w:t>
            </w:r>
            <w:r w:rsidRPr="008221DC">
              <w:rPr>
                <w:b w:val="0"/>
                <w:bCs/>
                <w:iCs/>
              </w:rPr>
              <w:t>połeczne funkcje historii</w:t>
            </w:r>
            <w:r w:rsidRPr="008221DC">
              <w:rPr>
                <w:b w:val="0"/>
                <w:bCs/>
              </w:rPr>
              <w:t xml:space="preserve"> oraz cele edukacji historycznej: rola polityki historycznej, ideologii i aksjologii.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Praktyka przedmiotowa śródroczna (j. polski)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Praktyka przedmiotowa śródroczna (historia)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 xml:space="preserve">Retoryka na lekcjach języka polskiego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ind w:left="0" w:right="34"/>
              <w:jc w:val="both"/>
              <w:rPr>
                <w:rFonts w:cs="Arial Narrow"/>
                <w:b w:val="0"/>
                <w:bCs/>
              </w:rPr>
            </w:pPr>
            <w:r w:rsidRPr="008221DC">
              <w:rPr>
                <w:rFonts w:cs="Verdana"/>
                <w:b w:val="0"/>
                <w:bCs/>
              </w:rPr>
              <w:t>Wiedza o systemie retoryki: inwencji, kompozycji, elokucji, pamięci, akcji. Kształcenie umiejętności retorycznej analizy stylu: tropy i figury. Teoria trzech stylów. Czytanie głośne wybranych dzieł ze spisu lektur szkolnych. Kształcenie umiejętności analizy oracji w trzech rodzajach retorycznych: okolicznościowym, sądowym, doradczym. Oracja jako całość gatunkowa, kompozycyjna, stylistyczna, afektywna. Wielkie mowy polskie i obce – analiza i wygłoszenie. Analiza retoryczna utworów literackich i nieliterackich czytanych w szkole. Układanie własnych mów w trzech rodzajach i stylach. Wygłoszenie z pamięci mowy cudzej i własnej z uwzględnieniem właściwości gatunku, kompozycji, stylu. Konspekt lekcji języka polskiego, na której pojawią się zagadnienia retoryczne.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59.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 xml:space="preserve">Literatura dla młodego odbiorcy  we współczesnej szkole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autoSpaceDN w:val="0"/>
              <w:adjustRightInd w:val="0"/>
              <w:spacing w:after="0"/>
              <w:ind w:right="34"/>
              <w:jc w:val="both"/>
              <w:rPr>
                <w:b w:val="0"/>
                <w:bCs/>
              </w:rPr>
            </w:pPr>
            <w:r w:rsidRPr="008221DC">
              <w:rPr>
                <w:b w:val="0"/>
                <w:bCs/>
              </w:rPr>
              <w:t>Podstawowe pojęcia związane z literaturą dla młodego odbiorcy:  jej historia i funkcje (tu: m.in.  autorzy – teksty - tematy – kanony). Literatura dla dzieci jako obszar badań interdyscyplinarnych (słowo i obraz – relacje intersemiotyczne, adaptacje filmowe, teatralne - gest, konteksty muzyczne). Literatura dla dzieci i młodzieży w szkolnych kanonach i w podręcznikach szkolnych – dawniej i dziś. Baśń jako gatunek – przemiany wariantów baśniowych,  reinterpretacje i  adaptacje pop-kulturowe. Bohater literatury dla dzieci i młodzieży – dawniej i dziś. Konteksty socjo-kulturowe literatury dla dzieci (np. pojęcie tożsamości). Kategorie i gatunki np. poezja dla dzieci, fantastyka, powieści obyczajowe, literatura popularnonaukowa. Współczesna proza dla dzieci i młodzieży: tematy i tendencje. W stronę fantasy. Funkcje edukacyjne literatury dla dzieci na wybranych przykładach – teoria i praktyka odbioru.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Praktyki ciągłe - j. polski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lastRenderedPageBreak/>
              <w:t>61.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Lingwistyka tekstu</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 xml:space="preserve">Wykorzystanie lingwistyki tekstu w ramach lingwistyki stosowanej. Wprowadzanie informacji o kontekście do  tekstu. Zastosowanie językoznawstwa korpusowego do badań nad dyskursem epistolarnym. Zagadnienia delimitacji i spójności tekstu internetowego. Wartościowanie w tekście. Lingwistyka tekstu a zagadnienia przekładu. Glottodydaktyka a zagadnienia lingwistyki tekstu.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Lingwistyka płci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Dyskurs równościowy (tolerancji). Historia feminizacji języka polskiego; polemiki XIX-wieczne. Czasopiśmiennictwo emancypacyjne. Narodziny dyskursów feministycznych. Rozpoznawanie dyskryminacji językowej ze względu na płeć. Nazwy żeńskie w służbie dyskursu równościowego. Unijna polityka gendermainstreaming.</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Komunikacja medialna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 xml:space="preserve">Wstępne wiadomości na temat komunikacji medialnej. Dyskurs medialny i jego miejsce we współczesnych wzorcach komunikowania. Media a propaganda. Język w komunikowaniu masowym. Najważniejsze problemy genologii dziennikarskiej. Telewizyjny przekaz medialny o sprawach społecznych: publicystyka, debata, reportaż. Tabloidy i tabloidyzacja kultury i języka. Kategoria prywatności w mediach. Media a opinia publiczna.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Kulturowe problemy krytyki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Problemy kulturowe w polskiej krytyce. Studia nad pamięcią. Polityczność literatury jako teza nowej krytyki. Geopoetyka i studia miejskie jako elementy krytyki. Ekokrytyka.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Podstawy typografii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line="100" w:lineRule="atLeast"/>
              <w:ind w:right="34"/>
              <w:jc w:val="both"/>
              <w:rPr>
                <w:rFonts w:cs="Arial Narrow"/>
                <w:b w:val="0"/>
                <w:bCs/>
              </w:rPr>
            </w:pPr>
            <w:r w:rsidRPr="008221DC">
              <w:rPr>
                <w:rFonts w:cs="Arial Narrow"/>
                <w:b w:val="0"/>
                <w:bCs/>
              </w:rPr>
              <w:t xml:space="preserve">Wprowadzenie podstawowych zagadnień z zakresu typografii i składu. Grafika rastrowa i wektorowa. Kategorie i rodzaje fontów – podział historyczny i funkcjonalny. Podstawy funkcjonowania programu Adobe InDesign w wersji CS5,5 lub nowszej. Wykorzystywanie programu Adobe InDesign do tworzenia prostych druków ulotnych. Zaawansowane metody graficznego opracowywania tekstu. Style znakowe  i akapitowe.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Współczesne edytorstwo książki i czasopisma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Narrow"/>
                <w:b w:val="0"/>
                <w:bCs/>
              </w:rPr>
              <w:t>Współczesne czasopismo: typologia czasopisma (dziennik, tygodnik opinii, periodyki specjalistyczne, tabloidy i prasa brukowa, czasopisma artystyczne, czasopisma literackie); czasopismo jako instytucja – organizacja i wydawanie czasopisma; rynek prasy w Polsce i Europie; czasopismo: struktura, kompozycja wydania – analiza numerów poszczególnych periodyków; gatunki prasowe w czasopiśmie; zadania redaktora tekstów prasowych; etyka dziennikarska; edycja tekstu w czasopiśmie.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Historia kina polskiego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Verdana"/>
                <w:b w:val="0"/>
                <w:bCs/>
              </w:rPr>
            </w:pPr>
            <w:r w:rsidRPr="008221DC">
              <w:rPr>
                <w:rFonts w:cs="Verdana"/>
                <w:b w:val="0"/>
                <w:bCs/>
              </w:rPr>
              <w:t>Polskie kino przedwojenne. Upaństwowienie kinematografii polskiej. Socrealizm w kinie. Kinofikacja. Monopolizacja przemysłu filmowego. Film produkcyjny. Cechy kina zideologizowanego. Pierwsze polskie powojenne przeboje filmowe. Zmiany polityczne i społeczne po odwilży październikowej. Reakcja polskich filmowców na sytuację społeczną. Szkoła Polska jako paradygmat rodzimego kina autorskiego. Geneza zjawiska. Nurty Polskiej Szkoły Filmowej. Filmy poza Szkołą Polską. Kino eksperymentalne, kino popularne, kino osobne. Nowa fala w kinie polskim a nowe fale we Francji, Czechach i Stanach Zjednoczonych. Kino Moralnego Niepokoju. Najważniejsze osobowości aktorskie kina okresu PRL-u. Panorama polskiego kina po 1989 roku: nurt rozrachunkowy, kino bandyckie, adaptacje lektur szkolnych, kino autorskie, kino niezależne.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68.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Analiza i interpretacja dzieła filmowego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Verdana"/>
                <w:b w:val="0"/>
                <w:bCs/>
              </w:rPr>
            </w:pPr>
            <w:r w:rsidRPr="008221DC">
              <w:rPr>
                <w:rFonts w:cs="Verdana"/>
                <w:b w:val="0"/>
                <w:bCs/>
              </w:rPr>
              <w:t>Elementy języka filmowego i budowy dzieła w kontekście działań analitycznych: obrazowanie (wizualizacja): kompozycja kadru, rodzaje planów, kreacyjne możliwości kamery (ruch, punkty widzenia, obiektywy, głębia ostrości, deformacja obrazu), narracja w filmie (fabuła – opowiadanie – montaż); dźwięk i muzyka w filmie; gatunki filmowe;  autor w filmie; rola i znaczenie widza; nowe technologie w filmie. Film wobec teorii kulturowych i praktyk interpretacyjnych: film w kontekście antropologicznym (historia, ciało, spektakl),  psychoanalityczne czytanie filmu (S. Žižek, T. McGowan); perspektywa feministyczna (E. Ann Kaplan, L. Mulvey, M. Radkiewicz);</w:t>
            </w:r>
            <w:r w:rsidRPr="008221DC">
              <w:rPr>
                <w:rFonts w:cs="Verdana"/>
                <w:b w:val="0"/>
                <w:bCs/>
                <w:lang w:val="en-US"/>
              </w:rPr>
              <w:t>filmowy</w:t>
            </w:r>
            <w:r w:rsidRPr="008221DC">
              <w:rPr>
                <w:rFonts w:cs="Verdana"/>
                <w:b w:val="0"/>
                <w:bCs/>
                <w:i/>
                <w:iCs/>
                <w:lang w:val="en-US"/>
              </w:rPr>
              <w:t>close reading</w:t>
            </w:r>
            <w:r w:rsidRPr="008221DC">
              <w:rPr>
                <w:rFonts w:cs="Verdana"/>
                <w:b w:val="0"/>
                <w:bCs/>
                <w:lang w:val="en-US"/>
              </w:rPr>
              <w:t xml:space="preserve"> (G. Królikiewicz);</w:t>
            </w:r>
            <w:r w:rsidRPr="008221DC">
              <w:rPr>
                <w:rFonts w:cs="Verdana"/>
                <w:b w:val="0"/>
                <w:bCs/>
              </w:rPr>
              <w:t xml:space="preserve"> poetyka </w:t>
            </w:r>
            <w:r w:rsidRPr="008221DC">
              <w:rPr>
                <w:rFonts w:cs="Verdana"/>
                <w:b w:val="0"/>
                <w:bCs/>
              </w:rPr>
              <w:lastRenderedPageBreak/>
              <w:t>filmu awangardowego.</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lastRenderedPageBreak/>
              <w:t>69.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 xml:space="preserve">Komunikacja interpersonalna, kreowanie wizerunku, zarządzanie grupą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B64D0F" w:rsidRDefault="00B64D0F" w:rsidP="00B64D0F">
            <w:pPr>
              <w:pStyle w:val="NormalnyWeb"/>
              <w:shd w:val="clear" w:color="auto" w:fill="FFFFFF"/>
              <w:spacing w:before="0" w:beforeAutospacing="0" w:after="0"/>
              <w:ind w:right="34"/>
              <w:jc w:val="both"/>
              <w:rPr>
                <w:rFonts w:ascii="Verdana" w:hAnsi="Verdana"/>
                <w:bCs/>
                <w:sz w:val="20"/>
                <w:szCs w:val="20"/>
              </w:rPr>
            </w:pPr>
            <w:r w:rsidRPr="00B64D0F">
              <w:rPr>
                <w:rFonts w:ascii="Verdana" w:hAnsi="Verdana"/>
                <w:bCs/>
                <w:sz w:val="20"/>
                <w:szCs w:val="20"/>
              </w:rPr>
              <w:t>Zajęcia wprowadzające; podstawowe pojęcia: lider, zespół. Komunikacja interpersonalna wg Harrisa, barometr zdrowego zespołu, metoda SMART, rodzaje zespołów. Role w zespole wg Belbina. Kreowanie wizerunku osób: autoprezentacja. Teamwork i procesy grupowe. Występowanie publiczne. Gra symulacyjna. Storytelling, projektowanie wizualne. DesingThinking, Legio Seriuos Play. Burza mózgów, mapy myśli. PR w mediach społecznościowych. Bariery w komunikacji. Sztuka wpływu na innych.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Edukacja regionalna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Style w:val="nl2br-paragraph"/>
                <w:b w:val="0"/>
                <w:bCs/>
              </w:rPr>
              <w:t xml:space="preserve">Praktyczne rozwiązania skoncentrowanych wokół następujących pojęć: współczesne życie kulturalne, wielokulturowość, edukacja regionalna, kształcenie humanistyczne i społeczne a nowoczesne wychowanie w dobie globalizacji i integracji europejskiej, komunikacja społeczna (sztuka konwersacji i sztuka pisania), społeczeństwo obywatelskie, wolontariat, słowo i obraz – aspekty promocji i reklamy, programy internetowe i gromadzenie, tworzenie i przekształcanie informacji, wprowadzenie do teorii i praktyki badania rynku, zarządzanie i finansowanie, statuty, umowy, organizacje pozarządowe, stypendia i programy dotacyjne, nabywanie umiejętności tworzenia projektów i wypełniania wniosków dotacyjnych.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Style krytyczne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bCs/>
              </w:rPr>
            </w:pPr>
            <w:r w:rsidRPr="008221DC">
              <w:rPr>
                <w:rFonts w:cs="Arial Narrow"/>
                <w:b w:val="0"/>
                <w:bCs/>
              </w:rPr>
              <w:t>Fenomenologiczno-egzystencjalna interpretacja poezji Martina Heideggera na przykładzie poezji Friedricha Hölderlina. Społeczno-krytyczne funkcje literatury i kultury w ujęciu przedstawicieli szkoły frankfurckiej; Benjamina lektura Baudelaire’a. Francuska krytyka filozoficzna przed dekonstrukcją. Bataille o EmilyBrönte; Blanchot o Kafce. Hermeneutyka Gadamerowska w odniesieniu do poezji Paula Celana. Dekonstrukcja w badaniach literackich. Derridy lektura Celana; Deleuza lektura Prousta. Postsekularna krytyka Giorgia Agambena.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Reportaż literacki po 1989 r.</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autoSpaceDE w:val="0"/>
              <w:spacing w:after="0"/>
              <w:ind w:right="34"/>
              <w:jc w:val="both"/>
              <w:rPr>
                <w:rFonts w:cs="Arial Narrow"/>
                <w:b w:val="0"/>
                <w:bCs/>
              </w:rPr>
            </w:pPr>
            <w:r w:rsidRPr="008221DC">
              <w:rPr>
                <w:rFonts w:cs="Arial Narrow"/>
                <w:b w:val="0"/>
                <w:bCs/>
              </w:rPr>
              <w:t>Reportaż w gazetach i tygodnikach (np. „Polityka”). „Szkoły” polskiego reportażu w XX i XXI wieku. Antologie reportażu po 1989 roku. Typy i odmiany prozy dokumentalnej. Wydawnictwa i serie wydawnicze. Krytyka literacka a reportaż, (auto)biografia, felieton, epistolografia. Reportaż polski wobec tendencji europejskich w literaturze non-fiction. Biografistyka po 1989 roku. Felietonistyka i epistolografia.</w:t>
            </w:r>
          </w:p>
        </w:tc>
      </w:tr>
      <w:tr w:rsidR="00B64D0F" w:rsidRPr="00B64D0F" w:rsidTr="008221DC">
        <w:trPr>
          <w:trHeight w:val="350"/>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Metodyka nauczania sprawności językowych</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Arial Narrow"/>
                <w:b w:val="0"/>
                <w:bCs/>
              </w:rPr>
            </w:pPr>
            <w:r w:rsidRPr="008221DC">
              <w:rPr>
                <w:rFonts w:cs="Arial Narrow"/>
                <w:b w:val="0"/>
                <w:bCs/>
              </w:rPr>
              <w:t xml:space="preserve">Nauczanie sprawności językowych (analiza zawartości programów  nauczania JPJO i </w:t>
            </w:r>
            <w:r w:rsidRPr="008221DC">
              <w:rPr>
                <w:rFonts w:cs="Arial Narrow"/>
                <w:b w:val="0"/>
                <w:bCs/>
                <w:i/>
                <w:iCs/>
              </w:rPr>
              <w:t>Standardów wymagań egzaminacyjnych</w:t>
            </w:r>
            <w:r w:rsidRPr="008221DC">
              <w:rPr>
                <w:rFonts w:cs="Arial Narrow"/>
                <w:b w:val="0"/>
                <w:bCs/>
              </w:rPr>
              <w:t xml:space="preserve"> pod kątem nauczania sprawności na odpowiednich poziomach znajomości języka, prezentacja wybranych technik nauczania, przykładowe rozwiązania metodyczne, analiza zawartości podręczników profilowanych do rozwijania sprawności). Wykorzystanie technologii informacyjno-komunikacyjnych w rozwijaniu sprawności językowych. Techniki zapewniania naturalności komunikacyjnej w nauczaniu sprawności językowych. Podejście zintegrowane w nauczaniu sprawności językowych (przykłady działań integrujących  nauczanie podsystemów języka z rozwijaniem sprawności językowych).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 xml:space="preserve">Psychologiczne aspekty języka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Arial Narrow"/>
                <w:b w:val="0"/>
                <w:bCs/>
              </w:rPr>
            </w:pPr>
            <w:r w:rsidRPr="008221DC">
              <w:rPr>
                <w:rFonts w:cs="Arial Narrow"/>
                <w:b w:val="0"/>
                <w:bCs/>
              </w:rPr>
              <w:t>Pojęcie informacji. Pojęcie sterowania. Pojęcie zachowania. Układ nerwowy- podsystem  wyspecjalizowany  w procesach informacyjnych organizmów żywych. Przedmiot badań psycholingwistycznych. Specyfika ludzkiego języka na tle zachowań komunikacyjnych innych gatunków. Rola języka w rozwoju osobniczym człowieka. Eksperymenty nad przyswajaniem ludzkiego języka przez naczelne. Ośrodki mowy biernej i czynnej w mózgu.  Psycholingwistyczne  modele  czynności językowych. Zjawisko afazji i jej różne postacie. Znaczenie badań nad zjawiskiem afazji dla zrozumienia mózgowych mechanizmów językowych. Inne zaburzenia mowy.</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lastRenderedPageBreak/>
              <w:t>75.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Praktyka lektorska (II)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Style w:val="nl2br-paragraph"/>
                <w:b w:val="0"/>
                <w:bCs/>
              </w:rPr>
              <w:t>Metody nauczania cudzoziemców języka polskiego jako obcego/drugiego (mówienia, rozumienia ze słuchu, rozumienia tekstu pisanego, pisania oraz  gramatyki), potrafią pracować z grupami wielonarodowościowymi i wielokulturowymi, być mediatorami i przekazicielami kultury polskiej.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Kompetencje dydaktyczne w zakresie szkoły ponadpodstawowej</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b w:val="0"/>
                <w:bCs/>
              </w:rPr>
            </w:pPr>
            <w:r w:rsidRPr="008221DC">
              <w:rPr>
                <w:b w:val="0"/>
                <w:bCs/>
              </w:rPr>
              <w:t>Przedmiot ma na celu utrwalenie, sprawdzenie i zweryfikowanie poprzez działania w szkołach treści kształcenia, które obowiązują w programie specjalizacji nauczycielskiej a realizowane są w ramach przedmiotów opatrzonym nazwami „Podstawy dydaktyki” i „Dydaktyka przedmiotowa” (np. cele kształcenia humanistycznego – teoria i praktyka; metody pracy w szkole w tym metody aktywizujące – teoria i praktyka; szkolne metody pracy z tekstem kultury – sztuka interpretacji – teoria i praktyka; Internet w pracy nauczyciela polonisty/historyka – teoria i praktyka; kształcenie językowe w szkole – teoria i praktyka; edukacja teatralna – teoria i praktyka; ewaluacja – teoria i praktyka itp.).</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Praktyki ciągłe – historia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numPr>
                <w:ilvl w:val="0"/>
                <w:numId w:val="1"/>
              </w:numPr>
              <w:shd w:val="clear" w:color="auto" w:fill="FFFFFF"/>
              <w:spacing w:after="0" w:line="258" w:lineRule="atLeast"/>
              <w:ind w:left="0" w:right="34"/>
              <w:jc w:val="both"/>
              <w:rPr>
                <w:rFonts w:cs="Arial Narrow"/>
                <w:b w:val="0"/>
                <w:bCs/>
              </w:rPr>
            </w:pPr>
            <w:r w:rsidRPr="008221DC">
              <w:rPr>
                <w:rFonts w:cs="Arial"/>
                <w:b w:val="0"/>
                <w:bCs/>
              </w:rPr>
              <w:t>Umiejętność budowania relacji z uczniem. Umiejętność budowania relacji z klasą/grupą uczniów. Umiejętność realizowania działań opiekuńczo-wychowawczych. Umiejętność indywidualizacji pracy z uczniami ze specjalnymi potrzebami edukacyjnym. Umiejętność planowania i dokumentowania własnych działań opiekuńczo-wychowawczych. Umiejętność autorefleksji i rozwijania osobistych kompetencji opiekuńczo-wychowawczych.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 xml:space="preserve">Tekst w szkolnej praktyce polonistycznej </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b w:val="0"/>
                <w:bCs/>
              </w:rPr>
            </w:pPr>
            <w:r w:rsidRPr="008221DC">
              <w:rPr>
                <w:b w:val="0"/>
                <w:bCs/>
              </w:rPr>
              <w:t xml:space="preserve">Zajęcia mają na celu przygotowanie studentów do prowadzenia rozmowy o tekstach, analizy i interpretacji tekstów (literackich i użytkowych) w szkole, na różnych poziomach kształcenia, tj. w szkołach podstawowych i ponadpodstawowych przy wykorzystaniu różnych metod (np. metody eksplikacji tekstu, metodą strukturalną, intersemiotyczną, intertekstualną (tj. analizą porównawczą), zadaniami do lektury, dramą itd. – również pod kątem egzaminów (egzaminu ósmoklasisty i egzaminu maturalnego). Na zajęciach podejmowane będą także zagadnienia związane z nowymi metodologiami czytania tekstów (np. czytaniem ekokrytycznym, </w:t>
            </w:r>
            <w:r w:rsidRPr="008221DC">
              <w:rPr>
                <w:b w:val="0"/>
                <w:bCs/>
                <w:i/>
              </w:rPr>
              <w:t>animalsstudies</w:t>
            </w:r>
            <w:r w:rsidRPr="008221DC">
              <w:rPr>
                <w:b w:val="0"/>
                <w:bCs/>
              </w:rPr>
              <w:t>, czytaniem kognitywnym w ujęciu afektywnym itd.) oraz czytaniem ze zrozumieniem w ujęciu teoretycznym i praktycznym. Celem zajęć jest próba odpowiedzi na pytania: jak uatrakcyjnić w szkole lekcje  w ramach pracy z tekstem, wprowadzając innowacje w interpretacji lektur pozornie zdezaktualizowanych, a także  udowodnić nośność dydaktyczną utworów spoza kanonu lektur szkolnych.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79.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0"/>
              <w:rPr>
                <w:bCs/>
              </w:rPr>
            </w:pPr>
            <w:r w:rsidRPr="00B64D0F">
              <w:rPr>
                <w:bCs/>
              </w:rPr>
              <w:t>Główne idee literatury XX wieku</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rPr>
            </w:pPr>
            <w:r w:rsidRPr="008221DC">
              <w:rPr>
                <w:b w:val="0"/>
              </w:rPr>
              <w:t>Prądy estetyczne w literaturze na tle historii idei w XX w. Strategie estetyczne w poezji i ich ewolucja. Ideologie artystyczne w poezji implikowane przez przyjętą estetykę. Opozycja awangardy i neoklasycyzmu. Eseizacja dyskursu powieściowego. Zacieranie podziałów genologicznych w poetyckim modelu prozy – Witkacy. Literatura jako agon w. l. 1945-1956. Nurty kreacjonistyczne wobec nurtów realistycznych w drugiej połowie XX w. Ponowoczesność i globalizacja w literaturze.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ind w:right="108"/>
              <w:jc w:val="center"/>
            </w:pPr>
            <w:r w:rsidRPr="00B64D0F">
              <w:t>80.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rPr>
                <w:bCs/>
              </w:rPr>
            </w:pPr>
            <w:r w:rsidRPr="00B64D0F">
              <w:t>Kultura popularna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uppressAutoHyphens/>
              <w:ind w:right="34"/>
              <w:jc w:val="both"/>
              <w:rPr>
                <w:b w:val="0"/>
              </w:rPr>
            </w:pPr>
            <w:r w:rsidRPr="008221DC">
              <w:rPr>
                <w:rFonts w:cs="Calibri"/>
                <w:b w:val="0"/>
              </w:rPr>
              <w:t>Definiowanie kultury, kultury popularnej, masowej i wysokiej. Metodologia badań; relacje między kulturą popularną a wysoką i masową; historia kultury popularnej i masowej; charakterystyka kultury popularnej i masowej. Funkcje kultury popularnej. Gatunki kultury popularnej. Teksty kultury popularnej. Zjawiska kultury popularnej i masowej. Wpływ kultury popularnej na odbiorcę. Miejsce kultury popularnej we współczesnej kulturze.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81.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0"/>
              <w:rPr>
                <w:bCs/>
              </w:rPr>
            </w:pPr>
            <w:r w:rsidRPr="00B64D0F">
              <w:t>Antropologia literatury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rPr>
            </w:pPr>
            <w:r w:rsidRPr="008221DC">
              <w:rPr>
                <w:b w:val="0"/>
              </w:rPr>
              <w:t>Antropologia literatury jako dyscyplina. Omówienie pojęcia doświadczenia jako kategorii fundującej projekt antropologiczny. Analiza społecznych uwarunkowań zjawisk. Antropologia literatury a genologia. Nurt badań nad życiem codziennym. Koncepcje cielesności w badaniach antropologicznych i literackich.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lastRenderedPageBreak/>
              <w:t>82.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rPr>
                <w:bCs/>
              </w:rPr>
              <w:t>Najnowsza polszczyzna – uzus i norma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Wykład obejmuje swym tematycznym zasięgiem podsystemy języka polskiego: fonologiczny, morfologiczny i składniowy oraz leksykę z frazeologią; po ich charakterystyce panchronicznej i typologicznej następuje ujęcie diachroniczne zwieńczone wywodem o zjawiskach współczesnych i tendencjach rozwojowych.</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83.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rPr>
                <w:bCs/>
              </w:rPr>
              <w:t>Semantyka i pragmatyka językowa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 xml:space="preserve">Przedmiot semantyki. Lingwistyczne definicje znaczenia. Granice między semantyką a pragmatyką. Semantyka leksykalna. Semantyka logiczna (negacja, koniunkcja, rachunek zdań). Znaczenie w gramatyce (struktura predykatowo-argumentowa, role uczestników sytuacji). Pojęcie stereotypu we współczesnych badaniach językoznawczych. Teoria aktów mowy (podstawy filozoficzne, bezpośrednie i pośrednie akty mowy). Analiza konwersacyjna (kolejność zabierania głosu, pary przylegające).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84.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Literatura polska przełomu XX i XXI w.</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Analiza i interpretacja tekstów zaliczanych do najnowszej literatury polskiej - ich analiza i interpretacja, a na tej podstawie - rozpoznanie głównych tendencji w twórczości ostatniego 25-lecia.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85.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Kulturowe problemy współczesnej polskiej literatury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Studia nad pamięcią i historią. Społeczeństwo i władza w przedstawieniach. Cielesność i polityka płci (literatura w ujęciu krytyki feministycznej). Afektywne ujęcie literatury jako narzędzia społecznego działania. Geopoetyka w roli narzędzia interpretacji przedstawienia miejskiej przestrzeni.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86.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0"/>
            </w:pPr>
            <w:r w:rsidRPr="00B64D0F">
              <w:t>Etyka i estetyka słowa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 xml:space="preserve">Etyka i estetyka słowa w komunikacji międzyludzkiej (warunki udanej komunikacji:  dobro, piękno i prawda w komunikowaniu indywidualnym, grupowym i społecznym). </w:t>
            </w:r>
          </w:p>
          <w:p w:rsidR="00B64D0F" w:rsidRPr="008221DC" w:rsidRDefault="00B64D0F" w:rsidP="00B64D0F">
            <w:pPr>
              <w:spacing w:after="0"/>
              <w:ind w:right="34"/>
              <w:jc w:val="both"/>
              <w:rPr>
                <w:rFonts w:cs="Arial Narrow"/>
                <w:b w:val="0"/>
              </w:rPr>
            </w:pPr>
            <w:r w:rsidRPr="008221DC">
              <w:rPr>
                <w:rFonts w:cs="Arial Narrow"/>
                <w:b w:val="0"/>
              </w:rPr>
              <w:t>Zakłócenia i bariery w komunikacji, pojęcie dominacji. Etyczna ocena aktów mowy, naruszanie zasad etyki i estetyki wypowiedzi w kontaktach oficjalnych i nieoficjalnych. Przemoc słowna a wolność słowa, etyka słowa a poprawność polityczna. Zjawisko wulgaryzacji języka jako wyraz naruszania zasad etyki i estetyki słowa.</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ind w:right="108"/>
              <w:jc w:val="center"/>
            </w:pPr>
            <w:r w:rsidRPr="00B64D0F">
              <w:t>87.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pPr>
            <w:r w:rsidRPr="00B64D0F">
              <w:t>Wielkie powieści XX  i XXI w.</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Analiza i interpretacja literatura powszechnej - najwybitniejszych powieści XX i XXI w.</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88.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uppressAutoHyphens/>
              <w:spacing w:before="120"/>
              <w:rPr>
                <w:bCs/>
              </w:rPr>
            </w:pPr>
            <w:r w:rsidRPr="00B64D0F">
              <w:t>Tradycja i nowoczesność w literaturze XX i XXI w.</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rFonts w:cs="Arial Narrow"/>
                <w:b w:val="0"/>
              </w:rPr>
            </w:pPr>
            <w:r w:rsidRPr="008221DC">
              <w:rPr>
                <w:rFonts w:cs="Arial Narrow"/>
                <w:b w:val="0"/>
              </w:rPr>
              <w:t xml:space="preserve">Kryteria i wyznaczniki realizmu - w kulturze masowej i literaturze popularnej. </w:t>
            </w:r>
          </w:p>
          <w:p w:rsidR="00B64D0F" w:rsidRPr="008221DC" w:rsidRDefault="00B64D0F" w:rsidP="00B64D0F">
            <w:pPr>
              <w:spacing w:after="0"/>
              <w:ind w:right="34"/>
              <w:jc w:val="both"/>
              <w:rPr>
                <w:rFonts w:cs="Arial Narrow"/>
                <w:b w:val="0"/>
              </w:rPr>
            </w:pPr>
            <w:r w:rsidRPr="008221DC">
              <w:rPr>
                <w:rFonts w:cs="Arial Narrow"/>
                <w:b w:val="0"/>
              </w:rPr>
              <w:t>Awangarda oraz kicz. Proza lingwistyczna. Pisarstwo amatorów. Feminizm dawny i nowy. Literaccy skandaliści. Autobiografizm.</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89.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Tekst w Internecie</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Arial Narrow"/>
                <w:b w:val="0"/>
                <w:bCs/>
              </w:rPr>
            </w:pPr>
            <w:r w:rsidRPr="008221DC">
              <w:rPr>
                <w:rFonts w:cs="Arial Narrow"/>
                <w:b w:val="0"/>
                <w:bCs/>
              </w:rPr>
              <w:t>Wprowadzenie podstawowych zagadnień z zakresu funkcjonowania stron WWW. Podstawy języka HTML/XHTML. Przegląd najważniejszych internetowych edytorów tekstu. Typografia internetowa. Omówienie internetowych gatunków tekstowych: e-mail, blog, Wikipedia, Wikisłownik, literatura hipertekstowa. Podstawowe  pojęcia z zakresu dziennikarstwa internetowego. Pisanie i redagowanie internetowych informacji (prasowych, urzędowych, copywriterskich, PR-owych). Pisanie tekstów pod SEO. Warsztaty z formatowania leadów i tytułów w Internecie. Omówienie umiejętności i kompetencji webwritera. Funkcjonowanie tekstu w mediach społecznościowych: Facebook, Twitter, Google+. Łączenie tekstu z elementami graficznymi i multimedialnymi.</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ind w:right="108"/>
              <w:jc w:val="center"/>
            </w:pPr>
            <w:r w:rsidRPr="00B64D0F">
              <w:t>90.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rPr>
                <w:bCs/>
              </w:rPr>
            </w:pPr>
            <w:r w:rsidRPr="00B64D0F">
              <w:rPr>
                <w:bCs/>
              </w:rPr>
              <w:t>Podstawy typografii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9F40DE">
            <w:pPr>
              <w:ind w:right="34"/>
              <w:jc w:val="both"/>
              <w:rPr>
                <w:rFonts w:cs="Arial Narrow"/>
                <w:b w:val="0"/>
                <w:bCs/>
              </w:rPr>
            </w:pPr>
            <w:r w:rsidRPr="008221DC">
              <w:rPr>
                <w:rFonts w:cs="Arial Narrow"/>
                <w:b w:val="0"/>
                <w:bCs/>
              </w:rPr>
              <w:t>Tworzenie projektu typograficznego książki. Funkcje zecerskie programu Adobe InDesign. Skład prostej książki. Przygotowanie projektu książki do druku. Kerning i tracking. Opis fontów za pomocą terminologii Unicode oraz GID. Współpraca programu Adobe InDesign z edytorami tekstu (Microsoft Word, OpenOffice Writer). Narzędzie GREP i automatyzacja składu. Podstawy obróbki graficznej w programie Photoshop. Skład antologii tekstów.</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91.</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rPr>
                <w:bCs/>
              </w:rPr>
            </w:pPr>
            <w:r w:rsidRPr="00B64D0F">
              <w:rPr>
                <w:bCs/>
              </w:rPr>
              <w:t>Tekstologia i edytorstwo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b w:val="0"/>
                <w:bCs/>
              </w:rPr>
            </w:pPr>
            <w:r w:rsidRPr="008221DC">
              <w:rPr>
                <w:b w:val="0"/>
                <w:bCs/>
              </w:rPr>
              <w:t xml:space="preserve">Nauki pomocnicze edytorstwa tekstów od II połowy XVIII wieku (elementy m.in. paleografii, historii języka polskiego, poetyki, leksykologii). Cechy kultury literackiej XVIII i XIX wieku istotne dla edytora. </w:t>
            </w:r>
            <w:r w:rsidRPr="008221DC">
              <w:rPr>
                <w:b w:val="0"/>
                <w:bCs/>
              </w:rPr>
              <w:lastRenderedPageBreak/>
              <w:t>Społeczne i polityczne uwarunkowania działalności wydawniczej w XIX i XX stuleciu (m.in. cenzura, emigracyjny ruch wydawniczy, drugi obieg). Najważniejsze edycje kluczowych tekstów, edycje krytyczne klasyki. Etapy pracy edytora (wybór podstawy wydania, ustalenie tekstu, objaśnienia, aparat krytyczny). Transkrypcja (modernizacja pisowni i interpunkcji). Obowiązujące konwencje a praktyka edytorska. Błędy edytorskie i problemy tekstologiczne.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lastRenderedPageBreak/>
              <w:t>92.</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Strategie autorskie w kinie modernistycznym i postmodernistycznym w XX i XXI wieku</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ind w:right="34"/>
              <w:jc w:val="both"/>
              <w:rPr>
                <w:rFonts w:cs="Verdana"/>
                <w:b w:val="0"/>
                <w:bCs/>
              </w:rPr>
            </w:pPr>
            <w:r w:rsidRPr="008221DC">
              <w:rPr>
                <w:rFonts w:cs="Verdana"/>
                <w:b w:val="0"/>
                <w:bCs/>
              </w:rPr>
              <w:t xml:space="preserve">Pojęcie modernizmu i postmodernizmu. Sposoby sygnifikacji w kinie: realizm, modernizm, postmoderniż. Pojęcie kina autorskiego – neorealizm włoski i nowa fala francuska jako paradygmaty kina artystycznego po II wojnie światowej.  Kino autorskie jako kino autotematyczne. Epickość i poetyckość stylu jako dwa bieguny eksponowania autora filmu. Neomodernizm i </w:t>
            </w:r>
            <w:r w:rsidRPr="008221DC">
              <w:rPr>
                <w:rFonts w:cs="Verdana"/>
                <w:b w:val="0"/>
                <w:bCs/>
                <w:i/>
                <w:iCs/>
              </w:rPr>
              <w:t>slowcinema</w:t>
            </w:r>
            <w:r w:rsidRPr="008221DC">
              <w:rPr>
                <w:rFonts w:cs="Verdana"/>
                <w:b w:val="0"/>
                <w:bCs/>
              </w:rPr>
              <w:t>. Modernizm 3D: zagadnienia percepcji obrazu filmowego na przykładzie filmów Wima Wendersa (</w:t>
            </w:r>
            <w:r w:rsidRPr="008221DC">
              <w:rPr>
                <w:rFonts w:cs="Verdana"/>
                <w:b w:val="0"/>
                <w:bCs/>
                <w:i/>
                <w:iCs/>
              </w:rPr>
              <w:t>Pina</w:t>
            </w:r>
            <w:r w:rsidRPr="008221DC">
              <w:rPr>
                <w:rFonts w:cs="Verdana"/>
                <w:b w:val="0"/>
                <w:bCs/>
              </w:rPr>
              <w:t xml:space="preserve"> [2011]) i Wernera Herzoga (</w:t>
            </w:r>
            <w:r w:rsidRPr="008221DC">
              <w:rPr>
                <w:rFonts w:cs="Verdana"/>
                <w:b w:val="0"/>
                <w:bCs/>
                <w:i/>
                <w:iCs/>
              </w:rPr>
              <w:t xml:space="preserve">Jaskinia zapomnianych snów </w:t>
            </w:r>
            <w:r w:rsidRPr="008221DC">
              <w:rPr>
                <w:rFonts w:cs="Verdana"/>
                <w:b w:val="0"/>
                <w:bCs/>
              </w:rPr>
              <w:t xml:space="preserve">[2010]). Esej filmowy i eseizacja kina – strategia (post)modernistyczna? Postmodernizm filmowy a postdramatyzm we współczesnym teatrze. Montaż jako „metodologia” filmowej komunikacji. Deziluzja i efekt obcości. Zagadnienia zdystansowanej narracji filmowej. Cielesność i performatywność współczesnego kina. Relacja autor-widz w sztuce filmowej.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93.</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line="100" w:lineRule="atLeast"/>
            </w:pPr>
            <w:r w:rsidRPr="00B64D0F">
              <w:t>Warsztat scenarzysty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B64D0F" w:rsidRDefault="00B64D0F" w:rsidP="00B64D0F">
            <w:pPr>
              <w:pStyle w:val="Akapitzlist1"/>
              <w:spacing w:line="240" w:lineRule="auto"/>
              <w:ind w:left="0" w:right="34"/>
              <w:jc w:val="both"/>
              <w:rPr>
                <w:rFonts w:ascii="Verdana" w:hAnsi="Verdana" w:cs="Verdana"/>
                <w:bCs/>
                <w:sz w:val="20"/>
                <w:szCs w:val="20"/>
              </w:rPr>
            </w:pPr>
            <w:r w:rsidRPr="00B64D0F">
              <w:rPr>
                <w:rFonts w:ascii="Verdana" w:hAnsi="Verdana" w:cs="Verdana"/>
                <w:bCs/>
                <w:sz w:val="20"/>
                <w:szCs w:val="20"/>
              </w:rPr>
              <w:t>Scenariusz, jako warsztat i komunikat – jasność przekazu, jego atrakcyjność oraz oryginalność. Dramaturgia tekstu. Elementy warsztatu aktorskiego w pracy scenarzysty – wywiady przed kamerą czy przed audytorium; dyskusje przed kamerą czy przed audytorium; audycje autorskie przed kamerą czy przed audytorium. Scenarzysta jako reżyser – wiedza o inscenizacji i budowaniu napięć niezbędna podczas pracy nad scenariuszem. Scenarzysta jako producent – świadomość możliwości produkcyjnych podczas pracy nad scenariuszem.</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pPr>
              <w:spacing w:after="0"/>
              <w:ind w:right="108"/>
              <w:jc w:val="center"/>
            </w:pPr>
            <w:r w:rsidRPr="00B64D0F">
              <w:t>94.</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B64D0F">
            <w:r w:rsidRPr="00B64D0F">
              <w:t>Podstawy teorii argumentacji</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B64D0F">
            <w:pPr>
              <w:spacing w:after="0"/>
              <w:ind w:right="34"/>
              <w:jc w:val="both"/>
              <w:rPr>
                <w:b w:val="0"/>
                <w:bCs/>
              </w:rPr>
            </w:pPr>
            <w:r w:rsidRPr="008221DC">
              <w:rPr>
                <w:b w:val="0"/>
                <w:bCs/>
              </w:rPr>
              <w:t xml:space="preserve">Wypowiedzi argumentacyjne. Standaryzacja argumentu. Poprawność argumentu. Myślenie logiczne a potoczne. Typy rozumowania. Podstawy sylogistyki. Logika nieformalna. Perswazja a argumentacja. Retoryka a dialektyka. Psychologiczne podstawy argumentacji. Pragmatyka językowa. Podstawy pragma-dialektyki. Typy argumentacji. Manewrowanie strategiczne w argumentacji. Błędy w argumentacji. Metodyka i technika argumentacji erystycznej. Charakterystyka kontrowersyjnych chwytów polemicznych, m.in. </w:t>
            </w:r>
            <w:r w:rsidRPr="008221DC">
              <w:rPr>
                <w:b w:val="0"/>
                <w:bCs/>
                <w:i/>
              </w:rPr>
              <w:t>ad personam, ad auditores, petitioprincipii</w:t>
            </w:r>
            <w:r w:rsidRPr="008221DC">
              <w:rPr>
                <w:b w:val="0"/>
                <w:bCs/>
              </w:rPr>
              <w:t xml:space="preserve">etc. Rola emocji w argumentacji. Ideologia, postawa a argumentacja. Etyka a sztuka przekonywania. Techniki retoryczne w życiu prywatnym i publicznym. Język polityki: demagogia, agitacja, propaganda. Manipulacja – pragmatyczne i etyczne aspekty manipulacji. </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ind w:right="108"/>
              <w:jc w:val="center"/>
            </w:pPr>
            <w:r w:rsidRPr="00B64D0F">
              <w:t>95.</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r w:rsidRPr="00B64D0F">
              <w:t>PR publicznych instytucji kultury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9F40DE">
            <w:pPr>
              <w:ind w:right="34"/>
              <w:jc w:val="both"/>
              <w:rPr>
                <w:b w:val="0"/>
                <w:bCs/>
              </w:rPr>
            </w:pPr>
            <w:r w:rsidRPr="008221DC">
              <w:rPr>
                <w:b w:val="0"/>
                <w:bCs/>
              </w:rPr>
              <w:t>Co to jest PR i czym różni się od propagandy, marketingu i promocji? Specyfika PR w publicznych instytucjach kultury. Człowiek w grupie – występy wewnątrz instytucji i na zewnątrz. Organizacja i działalność publicznej instytucji kultury (na przykładzie teatru publicznego). Pisanie newsletterów – najtańszego środka PR. Pisanie listów urzędowych. Pisanie notatek PR na stronę instytucji. Płynność ról w dzisiejszych publicznych instytucjach kultury – PR zespołowy. Działania PR w sytuacji kryzysowej. Ocena działań PR wskazanej publicznej instytucji kultury. Prezentacje i dyskusje na temat strategii PR wybranych przez studentów instytucji kultury.</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ind w:right="108"/>
              <w:jc w:val="center"/>
            </w:pPr>
            <w:r w:rsidRPr="00B64D0F">
              <w:t>96.</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r w:rsidRPr="00B64D0F">
              <w:t>Krytyka filmowa</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9F40DE">
            <w:pPr>
              <w:ind w:right="34"/>
              <w:jc w:val="both"/>
              <w:rPr>
                <w:rFonts w:cs="Arial Narrow"/>
                <w:b w:val="0"/>
                <w:bCs/>
              </w:rPr>
            </w:pPr>
            <w:r w:rsidRPr="008221DC">
              <w:rPr>
                <w:rFonts w:cs="Arial Narrow"/>
                <w:b w:val="0"/>
                <w:bCs/>
              </w:rPr>
              <w:t>poznanie piśmiennictwa filmoznawczego. Specyfika dzieła filmowego. Film w ogólnokulturowym kontekście. Kino i piśmiennictwo filmoznawcze.</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ind w:right="108"/>
              <w:jc w:val="center"/>
            </w:pPr>
            <w:r w:rsidRPr="00B64D0F">
              <w:t>97.</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r w:rsidRPr="00B64D0F">
              <w:t>Krytyka filmowa. Warsztat</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9F40DE">
            <w:pPr>
              <w:ind w:right="34"/>
              <w:jc w:val="both"/>
              <w:rPr>
                <w:rFonts w:cs="Arial Narrow"/>
                <w:b w:val="0"/>
                <w:bCs/>
              </w:rPr>
            </w:pPr>
            <w:r w:rsidRPr="008221DC">
              <w:rPr>
                <w:rFonts w:cs="Arial Narrow"/>
                <w:b w:val="0"/>
                <w:bCs/>
              </w:rPr>
              <w:t>Orientacja w historii kina i dziełach współczesnych. Zagadnienia krytyki filmowej. Wielość gatunków krytyki filmowej. Zróżnicowane gatunki filmu.</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ind w:right="108"/>
              <w:jc w:val="center"/>
            </w:pPr>
            <w:r w:rsidRPr="00B64D0F">
              <w:lastRenderedPageBreak/>
              <w:t>98.</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r w:rsidRPr="00B64D0F">
              <w:rPr>
                <w:bCs/>
              </w:rPr>
              <w:t>Nauczanie języka polskiego jako drugiego i odziedziczonego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9F40DE">
            <w:pPr>
              <w:ind w:right="34"/>
              <w:jc w:val="both"/>
              <w:rPr>
                <w:rFonts w:cs="Arial Narrow"/>
                <w:b w:val="0"/>
                <w:bCs/>
              </w:rPr>
            </w:pPr>
            <w:r w:rsidRPr="008221DC">
              <w:rPr>
                <w:rFonts w:cs="Arial"/>
                <w:b w:val="0"/>
                <w:bCs/>
              </w:rPr>
              <w:t>Zajęcia mają charakter warsztatowy. Studenci zapoznają się ze specyfiką nauczania języka polskiego jako drugiego i odziedziczonego. Analizują programy języka polskiego dla dzieci i młodzieży cudzoziemców przebywających w Polsce oraz dwujęzycznych uczniów polskiego pochodzenia. Poznają materiały dydaktyczne do nauki języka polskiego dla uczniów w wieku gimnazjalnym i licealnym będących na różnych poziomach zaawansowania. Rozróżniają metody i techniki nauczania (w tym podejście zadaniowe, komunikacyjne i uczenie się poprzez nauczanie) oraz techniki aktywizujące. Uczą się, w jaki sposób integrować treści językowe z kulturowymi na lekcji języka polskiego.</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ind w:right="108"/>
              <w:jc w:val="center"/>
            </w:pPr>
            <w:r w:rsidRPr="00B64D0F">
              <w:t>99.</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r w:rsidRPr="00B64D0F">
              <w:rPr>
                <w:bCs/>
              </w:rPr>
              <w:t>Testowanie i ocenianie uczących się JPJO</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9F40DE">
            <w:pPr>
              <w:ind w:right="34"/>
              <w:jc w:val="both"/>
              <w:rPr>
                <w:rFonts w:cs="Verdana"/>
                <w:b w:val="0"/>
                <w:bCs/>
              </w:rPr>
            </w:pPr>
            <w:r w:rsidRPr="008221DC">
              <w:rPr>
                <w:rFonts w:cs="Verdana"/>
                <w:b w:val="0"/>
                <w:bCs/>
              </w:rPr>
              <w:t>Ocena pracy uczących się i jej efektów: rodzaje błędów językowych, ich geneza, sposoby reagowania na błędy uczących się JPJO; ocenianie wypowiedzi ustnych i pisemnych (kryteria oceny, różne techniki ewaluacji). Samoocena uczącego się JPJO (skale biegłości, interpretacja wskaźników, poświadczanie i dokumentowanie znajomości języka, Europejskie Portfolio Językowe). Testy językowe i ich rodzaje, kryteria poprawności testu językowego, planowanie testu, opracowanie zadań testowych badających opanowanie poszczególnych sprawności i umiejętności. System certyfikacji znajomości języka polskiego jako obcego.</w:t>
            </w:r>
          </w:p>
        </w:tc>
      </w:tr>
      <w:tr w:rsidR="00B64D0F"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pPr>
              <w:ind w:right="108"/>
              <w:jc w:val="center"/>
            </w:pPr>
            <w:r w:rsidRPr="00B64D0F">
              <w:t>100.</w:t>
            </w:r>
          </w:p>
        </w:tc>
        <w:tc>
          <w:tcPr>
            <w:tcW w:w="3812" w:type="dxa"/>
            <w:tcBorders>
              <w:top w:val="single" w:sz="4" w:space="0" w:color="auto"/>
              <w:left w:val="single" w:sz="4" w:space="0" w:color="auto"/>
              <w:bottom w:val="single" w:sz="4" w:space="0" w:color="auto"/>
              <w:right w:val="single" w:sz="4" w:space="0" w:color="auto"/>
            </w:tcBorders>
            <w:vAlign w:val="center"/>
            <w:hideMark/>
          </w:tcPr>
          <w:p w:rsidR="00B64D0F" w:rsidRPr="00B64D0F" w:rsidRDefault="00B64D0F" w:rsidP="009F40DE">
            <w:r w:rsidRPr="00B64D0F">
              <w:rPr>
                <w:bCs/>
              </w:rPr>
              <w:t>Trudne miejsca polszczyzny</w:t>
            </w:r>
          </w:p>
        </w:tc>
        <w:tc>
          <w:tcPr>
            <w:tcW w:w="10958" w:type="dxa"/>
            <w:tcBorders>
              <w:top w:val="single" w:sz="4" w:space="0" w:color="auto"/>
              <w:left w:val="single" w:sz="4" w:space="0" w:color="auto"/>
              <w:bottom w:val="single" w:sz="4" w:space="0" w:color="auto"/>
              <w:right w:val="single" w:sz="4" w:space="0" w:color="auto"/>
            </w:tcBorders>
            <w:vAlign w:val="center"/>
          </w:tcPr>
          <w:p w:rsidR="00B64D0F" w:rsidRPr="008221DC" w:rsidRDefault="00B64D0F" w:rsidP="009F40DE">
            <w:pPr>
              <w:ind w:right="34"/>
              <w:jc w:val="both"/>
              <w:rPr>
                <w:rFonts w:cs="Arial Narrow"/>
                <w:b w:val="0"/>
                <w:bCs/>
              </w:rPr>
            </w:pPr>
            <w:r w:rsidRPr="008221DC">
              <w:rPr>
                <w:rFonts w:cs="Verdana"/>
                <w:b w:val="0"/>
                <w:bCs/>
                <w:position w:val="-1"/>
              </w:rPr>
              <w:t>Zdefiniowanie trudnych miejsc polszczyzny, omówienie korpusu błędów popełnianych prze cudzoziemców, omówienie typologii błędów językowych. Omówienie typowych błędów poszczególnych typów. Zależność między językiem pierwszym a typowymi błędami w polszczyźnie. Sposób poprawiania błędów cudzoziemców.</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rsidRPr="00B64D0F">
              <w:t>101.</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 średniowiecza (I)</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shd w:val="clear" w:color="auto" w:fill="FFFFFF"/>
              <w:spacing w:after="0"/>
              <w:ind w:right="0"/>
              <w:jc w:val="both"/>
              <w:rPr>
                <w:rFonts w:eastAsia="Times New Roman" w:cs="Calibri"/>
                <w:b w:val="0"/>
                <w:bCs/>
              </w:rPr>
            </w:pPr>
            <w:r w:rsidRPr="009750CA">
              <w:rPr>
                <w:rFonts w:cs="Verdana-Bold"/>
                <w:b w:val="0"/>
                <w:bCs/>
              </w:rPr>
              <w:t>Węzłowe problemy dziejów powszechnych V-XV w., ze szczególnym uwzględnieniem Polski X-XV w., a także m.in. procesów migracji, etnogenezy, formowania się struktur państwowych i miejskich, chrystianizacji, kultury, styków międzycywilizacyjnych, gospodarki.</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rsidRPr="00B64D0F">
              <w:t>102.</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w:t>
            </w:r>
          </w:p>
          <w:p w:rsidR="008221DC" w:rsidRPr="008221DC" w:rsidRDefault="008221DC" w:rsidP="002D0527">
            <w:pPr>
              <w:spacing w:after="0"/>
              <w:rPr>
                <w:bCs/>
              </w:rPr>
            </w:pPr>
            <w:r w:rsidRPr="008221DC">
              <w:rPr>
                <w:bCs/>
              </w:rPr>
              <w:t>średniowiecza (II)</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spacing w:after="0"/>
              <w:ind w:right="0"/>
              <w:jc w:val="both"/>
              <w:rPr>
                <w:rFonts w:cs="Arial"/>
                <w:b w:val="0"/>
                <w:bCs/>
              </w:rPr>
            </w:pPr>
            <w:r w:rsidRPr="009750CA">
              <w:rPr>
                <w:rFonts w:cs="Verdana-Bold"/>
                <w:b w:val="0"/>
                <w:bCs/>
              </w:rPr>
              <w:t>Węzłowe problemy dziejów powszechnych V-XV w., ze szczególnym uwzględnieniem Polski X-XV w., a także m.in. procesów migracji, etnogenezy, formowania się struktur państwowych i miejskich, chrystianizacji, kultury, styków międzycywilizacyjnych, gospodarki.</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t>103.</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 nowożytna (I)</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spacing w:after="0"/>
              <w:ind w:right="0"/>
              <w:jc w:val="both"/>
              <w:rPr>
                <w:b w:val="0"/>
                <w:bCs/>
              </w:rPr>
            </w:pPr>
            <w:r w:rsidRPr="009750CA">
              <w:rPr>
                <w:b w:val="0"/>
                <w:bCs/>
              </w:rPr>
              <w:t xml:space="preserve">Geneza i znaczenie wielkich wypraw geograficznych. Kościół katolicki – kryzys i odrodzenie. </w:t>
            </w:r>
            <w:r w:rsidRPr="009750CA">
              <w:rPr>
                <w:rFonts w:eastAsiaTheme="minorHAnsi"/>
                <w:b w:val="0"/>
                <w:bCs/>
              </w:rPr>
              <w:t xml:space="preserve">Rozkwit demokracji szlacheckiej w szesnastowiecznej Polsce. </w:t>
            </w:r>
            <w:r w:rsidRPr="009750CA">
              <w:rPr>
                <w:b w:val="0"/>
                <w:bCs/>
              </w:rPr>
              <w:t xml:space="preserve">Geneza samodzierżawia w Rosji i absolutyzm we Francji. Międzynarodowe położenie Rzeczypospolitej w XVII w. </w:t>
            </w:r>
            <w:r w:rsidRPr="009750CA">
              <w:rPr>
                <w:rFonts w:eastAsiaTheme="minorHAnsi"/>
                <w:b w:val="0"/>
                <w:bCs/>
              </w:rPr>
              <w:t>Sarmatyzm-ideologia i styl życia</w:t>
            </w:r>
            <w:r w:rsidRPr="009750CA">
              <w:rPr>
                <w:b w:val="0"/>
                <w:bCs/>
              </w:rPr>
              <w:t>. Rewolucja w Niderlandach i Anglii. Wojna o sukcesję hiszpańską i nowy układ stosunków w Europie. Rzeczpospolita w dobie uniii polsko–saskiej (1697-1763). Wzrost znaczenia Rosji w XVIII w. Absolutyzm w Prusach i Austrii. Naprawa Rzeczypospolitej: Sejm Wielki i Konstytucja 3 Maja.</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t>104.</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  nowożytna (II)</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spacing w:after="0"/>
              <w:ind w:right="0"/>
              <w:jc w:val="both"/>
              <w:rPr>
                <w:rFonts w:cs="Verdana-Italic"/>
                <w:b w:val="0"/>
                <w:bCs/>
                <w:iCs/>
              </w:rPr>
            </w:pPr>
            <w:r w:rsidRPr="009750CA">
              <w:rPr>
                <w:rFonts w:cs="Verdana-Italic"/>
                <w:b w:val="0"/>
                <w:bCs/>
                <w:iCs/>
              </w:rPr>
              <w:t xml:space="preserve">Zajęcia obejmują podstawowe treści związane z epoką nowożytną. Zostaną przedstawione najważniejsze wydarzenia z zakresu dziejów kultury, sztuki, nauki, przemian religijnych, społecznych, demograficznych oraz politycznych – najbardziej charakterystycznych dla XVI-XVIII w. W sposób problemowy będą zaprezentowane kluczowe momenty dziejów nowożytnych i związane z nimi podstawowe teksty kulturowe. Przedstawiając ciągłość procesu historycznego zostaną omówione przemiany następujące w Polsce, Europie i na świecie oraz wzajemne ich powiązania. </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t>105.</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 1789/1795-1918</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autoSpaceDE w:val="0"/>
              <w:autoSpaceDN w:val="0"/>
              <w:adjustRightInd w:val="0"/>
              <w:spacing w:after="0"/>
              <w:ind w:right="0"/>
              <w:jc w:val="both"/>
              <w:rPr>
                <w:rFonts w:cs="Verdana-Bold"/>
                <w:b w:val="0"/>
                <w:bCs/>
              </w:rPr>
            </w:pPr>
            <w:r w:rsidRPr="009750CA">
              <w:rPr>
                <w:rFonts w:cs="Verdana-Bold"/>
                <w:b w:val="0"/>
                <w:bCs/>
              </w:rPr>
              <w:t xml:space="preserve">Historia Polski i powszechna od rewolucji francuskiej i III rozbioru Polski do I wojny światowej, uwarunkowania wewnętrzne i zewnętrzne dziejów ziem polskich w dobie zaborów (przemiany polityczne, ekonomiczne i społeczne; różne oblicza walki o niepodległość); ewolucja systemów politycznych w Europie w latach 1789-1918; rewolucja przemysłowa i jej konsekwencje; ekspansja polityczna i cywilizacyjna Zachodu; początek zmierzchu dominacji Europy w polityce światowej; przemiany demograficzne i </w:t>
            </w:r>
            <w:r w:rsidRPr="009750CA">
              <w:rPr>
                <w:rFonts w:cs="Verdana-Bold"/>
                <w:b w:val="0"/>
                <w:bCs/>
              </w:rPr>
              <w:lastRenderedPageBreak/>
              <w:t>społeczne.</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lastRenderedPageBreak/>
              <w:t>106.</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 1789/1795-1918</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autoSpaceDE w:val="0"/>
              <w:autoSpaceDN w:val="0"/>
              <w:adjustRightInd w:val="0"/>
              <w:spacing w:after="0"/>
              <w:ind w:right="0"/>
              <w:jc w:val="both"/>
              <w:rPr>
                <w:rFonts w:cs="Verdana-Bold"/>
                <w:b w:val="0"/>
                <w:bCs/>
              </w:rPr>
            </w:pPr>
            <w:r w:rsidRPr="009750CA">
              <w:rPr>
                <w:rFonts w:cs="Verdana-Bold"/>
                <w:b w:val="0"/>
                <w:bCs/>
              </w:rPr>
              <w:t>Historia Polski i powszechna od rewolucji francuskiej i III rozbioru Polski do I wojny światowej, uwarunkowania wewnętrzne i zewnętrzne dziejów ziem polskich w dobie zaborów (przemiany polityczne, ekonomiczne i społeczne; różne oblicza walki o niepodległość); ewolucja systemów politycznych w Europie w latach 1789-1918; rewolucja przemysłowa i jej konsekwencje; ekspansja polityczna i cywilizacyjna Zachodu; początek zmierzchu dominacji Europy w polityce światowej; przemiany demograficzne i społeczne.</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t>107.</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 1918-1945</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tabs>
                <w:tab w:val="left" w:pos="363"/>
              </w:tabs>
              <w:suppressAutoHyphens/>
              <w:spacing w:after="0"/>
              <w:ind w:right="0"/>
              <w:jc w:val="both"/>
              <w:rPr>
                <w:rFonts w:cs="Arial"/>
                <w:b w:val="0"/>
                <w:bCs/>
              </w:rPr>
            </w:pPr>
            <w:r w:rsidRPr="009750CA">
              <w:rPr>
                <w:rFonts w:cs="Arial"/>
                <w:b w:val="0"/>
                <w:bCs/>
              </w:rPr>
              <w:t>System wersalski. Totalitaryzmy: komunizm, faszyzm, nazizm. Odrodzenie niepodległej Polski: granice, skład etniczny. Droga ku II wojnie światowej. Podstawowe wydarzenia II wojny światowej.</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t>108.</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8221DC" w:rsidRDefault="008221DC" w:rsidP="002D0527">
            <w:pPr>
              <w:spacing w:after="0"/>
              <w:rPr>
                <w:bCs/>
              </w:rPr>
            </w:pPr>
            <w:r w:rsidRPr="008221DC">
              <w:rPr>
                <w:bCs/>
              </w:rPr>
              <w:t>Historia Polski i powszechna 1918-1945</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9750CA" w:rsidRDefault="008221DC" w:rsidP="002D0527">
            <w:pPr>
              <w:tabs>
                <w:tab w:val="left" w:pos="363"/>
              </w:tabs>
              <w:suppressAutoHyphens/>
              <w:spacing w:after="0"/>
              <w:ind w:right="0"/>
              <w:jc w:val="both"/>
              <w:rPr>
                <w:rFonts w:cs="Arial"/>
                <w:b w:val="0"/>
                <w:bCs/>
              </w:rPr>
            </w:pPr>
            <w:r w:rsidRPr="009750CA">
              <w:rPr>
                <w:rFonts w:cs="Arial"/>
                <w:b w:val="0"/>
                <w:bCs/>
              </w:rPr>
              <w:t>Konstytucjonalizm II Rzeczypospolitej. Sprawa niemiecka w międzywojniu. Budowanie komunizmu w Rosji. Zagadnienia gospodarki światowej i polskiej w dwudziestoleciu międzywojennym. Sprawa polska podczas II wojny światowej. Wizje świata powojennego w konferencjach Wielkiej Trójki.</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t>109.</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2D0527">
            <w:pPr>
              <w:rPr>
                <w:bCs/>
              </w:rPr>
            </w:pPr>
            <w:r w:rsidRPr="00B64D0F">
              <w:rPr>
                <w:bCs/>
              </w:rPr>
              <w:t>Historia Polski i powszechna po 1945</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8221DC" w:rsidRDefault="008221DC" w:rsidP="002D0527">
            <w:pPr>
              <w:tabs>
                <w:tab w:val="left" w:pos="363"/>
              </w:tabs>
              <w:suppressAutoHyphens/>
              <w:spacing w:after="0"/>
              <w:ind w:right="34"/>
              <w:jc w:val="both"/>
              <w:rPr>
                <w:rFonts w:cs="Arial"/>
                <w:b w:val="0"/>
                <w:bCs/>
              </w:rPr>
            </w:pPr>
            <w:r w:rsidRPr="008221DC">
              <w:rPr>
                <w:rFonts w:cs="Arial"/>
                <w:b w:val="0"/>
                <w:bCs/>
              </w:rPr>
              <w:t>Tworzenie i funkcjonowanie świata dwubiegunowego ideologicznie: zimna wojna. Konflikty indochińskie. Konflikty bliskowschodnie. Polska pod rządami komunistów: protesty społeczne po II wojnie światowej. „Wiosna Ludów” i upadek ZSRR; Świat po komunizmie – nowe wyzwania.</w:t>
            </w:r>
          </w:p>
        </w:tc>
      </w:tr>
      <w:tr w:rsidR="008221DC" w:rsidRPr="00B64D0F" w:rsidTr="008221DC">
        <w:trPr>
          <w:trHeight w:val="488"/>
        </w:trPr>
        <w:tc>
          <w:tcPr>
            <w:tcW w:w="823"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B64D0F">
            <w:pPr>
              <w:spacing w:after="0"/>
              <w:ind w:right="108"/>
              <w:jc w:val="center"/>
            </w:pPr>
            <w:r>
              <w:t>110.</w:t>
            </w:r>
          </w:p>
        </w:tc>
        <w:tc>
          <w:tcPr>
            <w:tcW w:w="3812" w:type="dxa"/>
            <w:tcBorders>
              <w:top w:val="single" w:sz="4" w:space="0" w:color="auto"/>
              <w:left w:val="single" w:sz="4" w:space="0" w:color="auto"/>
              <w:bottom w:val="single" w:sz="4" w:space="0" w:color="auto"/>
              <w:right w:val="single" w:sz="4" w:space="0" w:color="auto"/>
            </w:tcBorders>
            <w:vAlign w:val="center"/>
            <w:hideMark/>
          </w:tcPr>
          <w:p w:rsidR="008221DC" w:rsidRPr="00B64D0F" w:rsidRDefault="008221DC" w:rsidP="002D0527">
            <w:pPr>
              <w:rPr>
                <w:bCs/>
              </w:rPr>
            </w:pPr>
            <w:r w:rsidRPr="00B64D0F">
              <w:rPr>
                <w:bCs/>
              </w:rPr>
              <w:t>Historia Polski i powszechna po 1945</w:t>
            </w:r>
          </w:p>
        </w:tc>
        <w:tc>
          <w:tcPr>
            <w:tcW w:w="10958" w:type="dxa"/>
            <w:tcBorders>
              <w:top w:val="single" w:sz="4" w:space="0" w:color="auto"/>
              <w:left w:val="single" w:sz="4" w:space="0" w:color="auto"/>
              <w:bottom w:val="single" w:sz="4" w:space="0" w:color="auto"/>
              <w:right w:val="single" w:sz="4" w:space="0" w:color="auto"/>
            </w:tcBorders>
            <w:vAlign w:val="center"/>
          </w:tcPr>
          <w:p w:rsidR="008221DC" w:rsidRPr="008221DC" w:rsidRDefault="008221DC" w:rsidP="002D0527">
            <w:pPr>
              <w:tabs>
                <w:tab w:val="left" w:pos="363"/>
              </w:tabs>
              <w:suppressAutoHyphens/>
              <w:spacing w:after="0"/>
              <w:ind w:right="34"/>
              <w:jc w:val="both"/>
              <w:rPr>
                <w:rFonts w:cs="Arial"/>
                <w:b w:val="0"/>
                <w:bCs/>
              </w:rPr>
            </w:pPr>
            <w:r w:rsidRPr="008221DC">
              <w:rPr>
                <w:rFonts w:cs="Arial"/>
                <w:b w:val="0"/>
                <w:bCs/>
              </w:rPr>
              <w:t>Próba nowego „ułożenia” świata powstałego w wyniku II wojny światowej. Organizacja narodów Zjednoczonych. Polska w nowych granicach, społeczeństwo, mniejszości narodowe. Uwarunkowania przejęcia władzy w Polsce przez komunistów. Opór społeczny w Polsce wobec rządów komunistów (1944-1989). Polityka PZPR wobec poszczególnych grup społecznych. Rywalizacja technologiczno-militarna na linii Wschód-Zachód. Dekolonizacja. Państwa wasalne wobec ZSRR w okresie powojennym, powstanie Chińskiej republiki Ludowej. Sprawa niemiecka.</w:t>
            </w:r>
          </w:p>
        </w:tc>
      </w:tr>
    </w:tbl>
    <w:p w:rsidR="007D2D65" w:rsidRDefault="001903B6"/>
    <w:sectPr w:rsidR="007D2D65" w:rsidSect="008440B2">
      <w:footerReference w:type="default" r:id="rId10"/>
      <w:pgSz w:w="16838" w:h="11906" w:orient="landscape"/>
      <w:pgMar w:top="567" w:right="567" w:bottom="567" w:left="567"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3B6" w:rsidRDefault="001903B6" w:rsidP="008440B2">
      <w:pPr>
        <w:spacing w:after="0"/>
      </w:pPr>
      <w:r>
        <w:separator/>
      </w:r>
    </w:p>
  </w:endnote>
  <w:endnote w:type="continuationSeparator" w:id="1">
    <w:p w:rsidR="001903B6" w:rsidRDefault="001903B6" w:rsidP="008440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Bold">
    <w:altName w:val="Arial"/>
    <w:panose1 w:val="00000000000000000000"/>
    <w:charset w:val="00"/>
    <w:family w:val="roman"/>
    <w:notTrueType/>
    <w:pitch w:val="default"/>
    <w:sig w:usb0="00000000" w:usb1="00000000" w:usb2="00000000" w:usb3="00000000" w:csb0="00000000" w:csb1="00000000"/>
  </w:font>
  <w:font w:name="Verdana-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754825"/>
      <w:docPartObj>
        <w:docPartGallery w:val="Page Numbers (Bottom of Page)"/>
        <w:docPartUnique/>
      </w:docPartObj>
    </w:sdtPr>
    <w:sdtEndPr>
      <w:rPr>
        <w:b w:val="0"/>
        <w:sz w:val="16"/>
        <w:szCs w:val="16"/>
      </w:rPr>
    </w:sdtEndPr>
    <w:sdtContent>
      <w:p w:rsidR="008440B2" w:rsidRPr="008440B2" w:rsidRDefault="004D4876" w:rsidP="008440B2">
        <w:pPr>
          <w:pStyle w:val="Stopka"/>
          <w:jc w:val="center"/>
          <w:rPr>
            <w:b w:val="0"/>
            <w:sz w:val="16"/>
            <w:szCs w:val="16"/>
          </w:rPr>
        </w:pPr>
        <w:r w:rsidRPr="008440B2">
          <w:rPr>
            <w:b w:val="0"/>
            <w:sz w:val="16"/>
            <w:szCs w:val="16"/>
          </w:rPr>
          <w:fldChar w:fldCharType="begin"/>
        </w:r>
        <w:r w:rsidR="008440B2" w:rsidRPr="008440B2">
          <w:rPr>
            <w:b w:val="0"/>
            <w:sz w:val="16"/>
            <w:szCs w:val="16"/>
          </w:rPr>
          <w:instrText>PAGE   \* MERGEFORMAT</w:instrText>
        </w:r>
        <w:r w:rsidRPr="008440B2">
          <w:rPr>
            <w:b w:val="0"/>
            <w:sz w:val="16"/>
            <w:szCs w:val="16"/>
          </w:rPr>
          <w:fldChar w:fldCharType="separate"/>
        </w:r>
        <w:r w:rsidR="00837F7D">
          <w:rPr>
            <w:b w:val="0"/>
            <w:noProof/>
            <w:sz w:val="16"/>
            <w:szCs w:val="16"/>
          </w:rPr>
          <w:t>16</w:t>
        </w:r>
        <w:r w:rsidRPr="008440B2">
          <w:rPr>
            <w:b w:val="0"/>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3B6" w:rsidRDefault="001903B6" w:rsidP="008440B2">
      <w:pPr>
        <w:spacing w:after="0"/>
      </w:pPr>
      <w:r>
        <w:separator/>
      </w:r>
    </w:p>
  </w:footnote>
  <w:footnote w:type="continuationSeparator" w:id="1">
    <w:p w:rsidR="001903B6" w:rsidRDefault="001903B6" w:rsidP="008440B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F7790"/>
    <w:multiLevelType w:val="multilevel"/>
    <w:tmpl w:val="44667C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drawingGridHorizontalSpacing w:val="105"/>
  <w:displayHorizontalDrawingGridEvery w:val="2"/>
  <w:displayVerticalDrawingGridEvery w:val="2"/>
  <w:characterSpacingControl w:val="doNotCompress"/>
  <w:footnotePr>
    <w:footnote w:id="0"/>
    <w:footnote w:id="1"/>
  </w:footnotePr>
  <w:endnotePr>
    <w:endnote w:id="0"/>
    <w:endnote w:id="1"/>
  </w:endnotePr>
  <w:compat/>
  <w:rsids>
    <w:rsidRoot w:val="00B64D0F"/>
    <w:rsid w:val="000F2DC1"/>
    <w:rsid w:val="00122CBD"/>
    <w:rsid w:val="001903B6"/>
    <w:rsid w:val="00204904"/>
    <w:rsid w:val="00314D1F"/>
    <w:rsid w:val="00326EB2"/>
    <w:rsid w:val="00330810"/>
    <w:rsid w:val="00391E0D"/>
    <w:rsid w:val="004053B5"/>
    <w:rsid w:val="004556E6"/>
    <w:rsid w:val="004D4876"/>
    <w:rsid w:val="004D4C7C"/>
    <w:rsid w:val="00574ED5"/>
    <w:rsid w:val="005B78DB"/>
    <w:rsid w:val="005C7FE8"/>
    <w:rsid w:val="005E6E12"/>
    <w:rsid w:val="006556AA"/>
    <w:rsid w:val="006A06B2"/>
    <w:rsid w:val="00817E3C"/>
    <w:rsid w:val="008221DC"/>
    <w:rsid w:val="00837F7D"/>
    <w:rsid w:val="008440B2"/>
    <w:rsid w:val="00885AB0"/>
    <w:rsid w:val="0099524F"/>
    <w:rsid w:val="009F40DE"/>
    <w:rsid w:val="00A162A8"/>
    <w:rsid w:val="00A66E97"/>
    <w:rsid w:val="00B64D0F"/>
    <w:rsid w:val="00BB07D7"/>
    <w:rsid w:val="00BB1CBF"/>
    <w:rsid w:val="00C04E3A"/>
    <w:rsid w:val="00C22864"/>
    <w:rsid w:val="00C62CB6"/>
    <w:rsid w:val="00C6323D"/>
    <w:rsid w:val="00CE0A6D"/>
    <w:rsid w:val="00D64DC7"/>
    <w:rsid w:val="00F420C0"/>
    <w:rsid w:val="00F47856"/>
    <w:rsid w:val="00FB7711"/>
    <w:rsid w:val="00FE64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4D0F"/>
    <w:pPr>
      <w:spacing w:after="120" w:line="240" w:lineRule="auto"/>
      <w:ind w:right="210"/>
    </w:pPr>
    <w:rPr>
      <w:rFonts w:ascii="Verdana" w:eastAsia="Calibri" w:hAnsi="Verdana" w:cs="Times New Roman"/>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64D0F"/>
    <w:pPr>
      <w:spacing w:after="0" w:line="240" w:lineRule="auto"/>
    </w:pPr>
    <w:rPr>
      <w:rFonts w:ascii="Calibri" w:eastAsia="Calibri" w:hAnsi="Calibri" w:cs="Times New Roman"/>
      <w:b/>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qFormat/>
    <w:rsid w:val="00B64D0F"/>
    <w:pPr>
      <w:spacing w:after="0" w:line="360" w:lineRule="auto"/>
      <w:ind w:left="720" w:right="0"/>
      <w:contextualSpacing/>
    </w:pPr>
    <w:rPr>
      <w:rFonts w:ascii="Calibri" w:eastAsia="Times New Roman" w:hAnsi="Calibri"/>
      <w:b w:val="0"/>
      <w:sz w:val="22"/>
      <w:szCs w:val="22"/>
    </w:rPr>
  </w:style>
  <w:style w:type="paragraph" w:styleId="NormalnyWeb">
    <w:name w:val="Normal (Web)"/>
    <w:basedOn w:val="Normalny"/>
    <w:uiPriority w:val="99"/>
    <w:qFormat/>
    <w:rsid w:val="00B64D0F"/>
    <w:pPr>
      <w:spacing w:before="100" w:beforeAutospacing="1" w:after="119"/>
      <w:ind w:right="0"/>
    </w:pPr>
    <w:rPr>
      <w:rFonts w:ascii="Times New Roman" w:eastAsia="Times New Roman" w:hAnsi="Times New Roman"/>
      <w:b w:val="0"/>
      <w:sz w:val="24"/>
      <w:szCs w:val="24"/>
      <w:lang w:eastAsia="pl-PL"/>
    </w:rPr>
  </w:style>
  <w:style w:type="character" w:customStyle="1" w:styleId="wrtext">
    <w:name w:val="wrtext"/>
    <w:rsid w:val="00B64D0F"/>
  </w:style>
  <w:style w:type="paragraph" w:customStyle="1" w:styleId="Akapitzlist2">
    <w:name w:val="Akapit z listą2"/>
    <w:basedOn w:val="Normalny"/>
    <w:rsid w:val="00B64D0F"/>
    <w:pPr>
      <w:spacing w:after="200" w:line="276" w:lineRule="auto"/>
      <w:ind w:left="720" w:right="0"/>
    </w:pPr>
    <w:rPr>
      <w:rFonts w:ascii="Calibri" w:eastAsia="Times New Roman" w:hAnsi="Calibri" w:cs="Calibri"/>
      <w:b w:val="0"/>
      <w:sz w:val="22"/>
      <w:szCs w:val="22"/>
      <w:lang w:eastAsia="ar-SA"/>
    </w:rPr>
  </w:style>
  <w:style w:type="character" w:customStyle="1" w:styleId="nl2br-paragraph">
    <w:name w:val="nl2br-paragraph"/>
    <w:basedOn w:val="Domylnaczcionkaakapitu"/>
    <w:rsid w:val="00B64D0F"/>
  </w:style>
  <w:style w:type="paragraph" w:styleId="Nagwek">
    <w:name w:val="header"/>
    <w:basedOn w:val="Normalny"/>
    <w:link w:val="NagwekZnak"/>
    <w:uiPriority w:val="99"/>
    <w:unhideWhenUsed/>
    <w:rsid w:val="008440B2"/>
    <w:pPr>
      <w:tabs>
        <w:tab w:val="center" w:pos="4536"/>
        <w:tab w:val="right" w:pos="9072"/>
      </w:tabs>
      <w:spacing w:after="0"/>
    </w:pPr>
  </w:style>
  <w:style w:type="character" w:customStyle="1" w:styleId="NagwekZnak">
    <w:name w:val="Nagłówek Znak"/>
    <w:basedOn w:val="Domylnaczcionkaakapitu"/>
    <w:link w:val="Nagwek"/>
    <w:uiPriority w:val="99"/>
    <w:rsid w:val="008440B2"/>
    <w:rPr>
      <w:rFonts w:ascii="Verdana" w:eastAsia="Calibri" w:hAnsi="Verdana" w:cs="Times New Roman"/>
      <w:b/>
      <w:sz w:val="20"/>
      <w:szCs w:val="20"/>
    </w:rPr>
  </w:style>
  <w:style w:type="paragraph" w:styleId="Stopka">
    <w:name w:val="footer"/>
    <w:basedOn w:val="Normalny"/>
    <w:link w:val="StopkaZnak"/>
    <w:uiPriority w:val="99"/>
    <w:unhideWhenUsed/>
    <w:rsid w:val="008440B2"/>
    <w:pPr>
      <w:tabs>
        <w:tab w:val="center" w:pos="4536"/>
        <w:tab w:val="right" w:pos="9072"/>
      </w:tabs>
      <w:spacing w:after="0"/>
    </w:pPr>
  </w:style>
  <w:style w:type="character" w:customStyle="1" w:styleId="StopkaZnak">
    <w:name w:val="Stopka Znak"/>
    <w:basedOn w:val="Domylnaczcionkaakapitu"/>
    <w:link w:val="Stopka"/>
    <w:uiPriority w:val="99"/>
    <w:rsid w:val="008440B2"/>
    <w:rPr>
      <w:rFonts w:ascii="Verdana" w:eastAsia="Calibri" w:hAnsi="Verdana"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2F43C1EC50D143B7614E53E0B4FFE7" ma:contentTypeVersion="6" ma:contentTypeDescription="Utwórz nowy dokument." ma:contentTypeScope="" ma:versionID="55c116ac949f67ffdc0f46e4038fc305">
  <xsd:schema xmlns:xsd="http://www.w3.org/2001/XMLSchema" xmlns:xs="http://www.w3.org/2001/XMLSchema" xmlns:p="http://schemas.microsoft.com/office/2006/metadata/properties" xmlns:ns2="30ebd2c0-e58b-4dc6-afdd-5ecf79a4f3a4" xmlns:ns3="aa4a7784-e538-4cab-a8f5-676df505710a" targetNamespace="http://schemas.microsoft.com/office/2006/metadata/properties" ma:root="true" ma:fieldsID="119db89624928d4f4b130f41668f634a" ns2:_="" ns3:_="">
    <xsd:import namespace="30ebd2c0-e58b-4dc6-afdd-5ecf79a4f3a4"/>
    <xsd:import namespace="aa4a7784-e538-4cab-a8f5-676df50571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bd2c0-e58b-4dc6-afdd-5ecf79a4f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a7784-e538-4cab-a8f5-676df505710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FAE49-CE53-43BC-8303-5948CA4A9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bd2c0-e58b-4dc6-afdd-5ecf79a4f3a4"/>
    <ds:schemaRef ds:uri="aa4a7784-e538-4cab-a8f5-676df5057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CD255-7BAA-497C-9A23-F1B05EB91920}">
  <ds:schemaRefs>
    <ds:schemaRef ds:uri="http://schemas.microsoft.com/sharepoint/v3/contenttype/forms"/>
  </ds:schemaRefs>
</ds:datastoreItem>
</file>

<file path=customXml/itemProps3.xml><?xml version="1.0" encoding="utf-8"?>
<ds:datastoreItem xmlns:ds="http://schemas.openxmlformats.org/officeDocument/2006/customXml" ds:itemID="{23F7E6F0-4EAF-43CC-BAA5-0DAD5FC439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8588</Words>
  <Characters>51531</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Prochorowicz</dc:creator>
  <cp:lastModifiedBy>Windows User</cp:lastModifiedBy>
  <cp:revision>2</cp:revision>
  <dcterms:created xsi:type="dcterms:W3CDTF">2021-09-24T10:22:00Z</dcterms:created>
  <dcterms:modified xsi:type="dcterms:W3CDTF">2021-09-24T10:22:00Z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0x010100D42F43C1EC50D143B7614E53E0B4FFE7</vt:lpwstr>
  </property>
</Properties>
</file>