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0F0C4" w14:textId="77777777" w:rsidR="00D30E88" w:rsidRDefault="00000000">
      <w:pPr>
        <w:pStyle w:val="Standard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iCs/>
        </w:rPr>
        <w:t>ZAGADNIENIA NA EGZAMIN MAGISTERSKI</w:t>
      </w:r>
    </w:p>
    <w:p w14:paraId="58C1673E" w14:textId="77777777" w:rsidR="00D30E88" w:rsidRDefault="00000000">
      <w:pPr>
        <w:pStyle w:val="Standard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iCs/>
        </w:rPr>
        <w:t>NA KIERUNKACH PROWADZONYCH W INSTYTUCIE FILOLOGII POLSKIEJ UWR</w:t>
      </w:r>
    </w:p>
    <w:p w14:paraId="0EA29FC6" w14:textId="77777777" w:rsidR="00D30E88" w:rsidRDefault="00D30E88">
      <w:pPr>
        <w:pStyle w:val="Standard"/>
        <w:spacing w:line="276" w:lineRule="auto"/>
        <w:jc w:val="center"/>
        <w:rPr>
          <w:rFonts w:ascii="Times New Roman" w:hAnsi="Times New Roman" w:cs="Times New Roman"/>
          <w:iCs/>
        </w:rPr>
      </w:pPr>
    </w:p>
    <w:p w14:paraId="0FD83823" w14:textId="77777777" w:rsidR="00D30E88" w:rsidRDefault="00000000">
      <w:pPr>
        <w:pStyle w:val="Standard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iCs/>
        </w:rPr>
        <w:t>(seminarium w roku akademickim 2023/2024 i 2024/2025)</w:t>
      </w:r>
    </w:p>
    <w:p w14:paraId="74EE5BF2" w14:textId="77777777" w:rsidR="00D30E88" w:rsidRDefault="00D30E88">
      <w:pPr>
        <w:pStyle w:val="Standard"/>
        <w:spacing w:line="276" w:lineRule="auto"/>
        <w:jc w:val="both"/>
        <w:rPr>
          <w:rFonts w:ascii="Times New Roman" w:hAnsi="Times New Roman" w:cs="Times New Roman"/>
          <w:iCs/>
        </w:rPr>
      </w:pPr>
    </w:p>
    <w:p w14:paraId="774A4CD2" w14:textId="77777777" w:rsidR="00D30E88" w:rsidRDefault="00D30E88">
      <w:pPr>
        <w:pStyle w:val="Standard"/>
        <w:spacing w:line="276" w:lineRule="auto"/>
        <w:jc w:val="both"/>
        <w:rPr>
          <w:rFonts w:ascii="Times New Roman" w:hAnsi="Times New Roman" w:cs="Times New Roman"/>
          <w:iCs/>
        </w:rPr>
      </w:pPr>
    </w:p>
    <w:p w14:paraId="78720281" w14:textId="77777777" w:rsidR="00D30E88" w:rsidRDefault="00000000">
      <w:pPr>
        <w:pStyle w:val="Standard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color w:val="000000"/>
          <w:u w:val="single"/>
        </w:rPr>
        <w:t>ANTROPOLOGIA LITERATURY TEATRU I FILMU</w:t>
      </w:r>
    </w:p>
    <w:p w14:paraId="48D7168F" w14:textId="77777777" w:rsidR="00D30E88" w:rsidRDefault="00D30E88">
      <w:pPr>
        <w:pStyle w:val="StandardWW"/>
        <w:spacing w:line="276" w:lineRule="auto"/>
        <w:jc w:val="both"/>
      </w:pPr>
    </w:p>
    <w:p w14:paraId="7E8943FD" w14:textId="77777777" w:rsidR="00D30E88" w:rsidRDefault="00D30E88">
      <w:pPr>
        <w:pStyle w:val="StandardWW"/>
        <w:spacing w:line="276" w:lineRule="auto"/>
        <w:jc w:val="both"/>
      </w:pPr>
    </w:p>
    <w:p w14:paraId="73022B28" w14:textId="77777777" w:rsidR="00D30E88" w:rsidRDefault="00D30E88">
      <w:pPr>
        <w:pStyle w:val="StandardWW"/>
        <w:spacing w:line="276" w:lineRule="auto"/>
        <w:jc w:val="both"/>
      </w:pPr>
    </w:p>
    <w:p w14:paraId="353E8D40" w14:textId="77777777" w:rsidR="00D30E88" w:rsidRDefault="00000000">
      <w:pPr>
        <w:pStyle w:val="StandardWW"/>
        <w:spacing w:line="276" w:lineRule="auto"/>
        <w:jc w:val="both"/>
      </w:pPr>
      <w:r>
        <w:rPr>
          <w:u w:val="single"/>
        </w:rPr>
        <w:t>Dr Robert Dudziński</w:t>
      </w:r>
      <w:r>
        <w:t>:</w:t>
      </w:r>
    </w:p>
    <w:p w14:paraId="3BBDA37F" w14:textId="77777777" w:rsidR="00D30E88" w:rsidRDefault="00D30E88">
      <w:pPr>
        <w:pStyle w:val="StandardWW"/>
        <w:spacing w:line="276" w:lineRule="auto"/>
        <w:jc w:val="both"/>
      </w:pPr>
    </w:p>
    <w:p w14:paraId="75361168" w14:textId="77777777" w:rsidR="00D30E88" w:rsidRDefault="00000000">
      <w:pPr>
        <w:pStyle w:val="StandardWW"/>
        <w:spacing w:line="360" w:lineRule="auto"/>
        <w:jc w:val="both"/>
      </w:pPr>
      <w:r>
        <w:t>1. Antropologiczne badania nad kinem – nurty, metody i perspektywy.</w:t>
      </w:r>
    </w:p>
    <w:p w14:paraId="3646AD8E" w14:textId="77777777" w:rsidR="00D30E88" w:rsidRDefault="00000000">
      <w:pPr>
        <w:pStyle w:val="StandardWW"/>
        <w:spacing w:line="360" w:lineRule="auto"/>
        <w:jc w:val="both"/>
      </w:pPr>
      <w:r>
        <w:t>2. Film jako instrument odzwierciedlania albo opisu kultury.</w:t>
      </w:r>
    </w:p>
    <w:p w14:paraId="507CF448" w14:textId="77777777" w:rsidR="00D30E88" w:rsidRDefault="00000000">
      <w:pPr>
        <w:pStyle w:val="StandardWW"/>
        <w:spacing w:line="360" w:lineRule="auto"/>
        <w:jc w:val="both"/>
      </w:pPr>
      <w:r>
        <w:t>3. Nowa Historia Kina – główne założenia i koncepcje.</w:t>
      </w:r>
    </w:p>
    <w:p w14:paraId="64B443DF" w14:textId="77777777" w:rsidR="00D30E88" w:rsidRDefault="00000000">
      <w:pPr>
        <w:pStyle w:val="StandardWW"/>
        <w:spacing w:line="360" w:lineRule="auto"/>
        <w:jc w:val="both"/>
      </w:pPr>
      <w:r>
        <w:t>4. Kino w kręgu władzy i ideologii.</w:t>
      </w:r>
    </w:p>
    <w:p w14:paraId="729CBA6B" w14:textId="77777777" w:rsidR="00D30E88" w:rsidRDefault="00000000">
      <w:pPr>
        <w:pStyle w:val="StandardWW"/>
        <w:spacing w:line="360" w:lineRule="auto"/>
        <w:jc w:val="both"/>
      </w:pPr>
      <w:r>
        <w:t>5. Kino a kontrkultura oraz kontestacja.</w:t>
      </w:r>
    </w:p>
    <w:p w14:paraId="01A8971B" w14:textId="77777777" w:rsidR="00D30E88" w:rsidRDefault="00000000">
      <w:pPr>
        <w:pStyle w:val="StandardWW"/>
        <w:spacing w:line="360" w:lineRule="auto"/>
        <w:jc w:val="both"/>
      </w:pPr>
      <w:r>
        <w:t>6. Kulturowa genologia kina – gatunek w ujęciu tekstualnym, antropologicznym i dyskursywnym.</w:t>
      </w:r>
    </w:p>
    <w:p w14:paraId="3BB9A094" w14:textId="77777777" w:rsidR="00D30E88" w:rsidRDefault="00000000">
      <w:pPr>
        <w:pStyle w:val="StandardWW"/>
        <w:spacing w:line="360" w:lineRule="auto"/>
        <w:jc w:val="both"/>
      </w:pPr>
      <w:r>
        <w:t>7. Technologiczne, ekonomiczne i instytucjonalne konteksty kina.</w:t>
      </w:r>
    </w:p>
    <w:p w14:paraId="5B522954" w14:textId="77777777" w:rsidR="00D30E88" w:rsidRDefault="00000000">
      <w:pPr>
        <w:pStyle w:val="StandardWW"/>
        <w:spacing w:line="360" w:lineRule="auto"/>
        <w:jc w:val="both"/>
      </w:pPr>
      <w:r>
        <w:t>8. Badania nad recepcją filmów – źródła i metody.</w:t>
      </w:r>
    </w:p>
    <w:p w14:paraId="7A085F77" w14:textId="77777777" w:rsidR="00D30E88" w:rsidRDefault="00000000">
      <w:pPr>
        <w:pStyle w:val="StandardWW"/>
        <w:spacing w:line="360" w:lineRule="auto"/>
        <w:jc w:val="both"/>
      </w:pPr>
      <w:r>
        <w:t>9. Poetyka doświadczenia kinowego.</w:t>
      </w:r>
    </w:p>
    <w:p w14:paraId="2E436446" w14:textId="77777777" w:rsidR="00D30E88" w:rsidRDefault="00D30E88">
      <w:pPr>
        <w:pStyle w:val="Textbody"/>
        <w:spacing w:after="0"/>
        <w:rPr>
          <w:rFonts w:ascii="Times New Roman" w:hAnsi="Times New Roman"/>
        </w:rPr>
      </w:pPr>
    </w:p>
    <w:p w14:paraId="6A6A97A3" w14:textId="77777777" w:rsidR="00D30E88" w:rsidRDefault="00D30E88">
      <w:pPr>
        <w:pStyle w:val="StandardWW"/>
        <w:spacing w:line="276" w:lineRule="auto"/>
        <w:jc w:val="both"/>
      </w:pPr>
    </w:p>
    <w:p w14:paraId="164829A0" w14:textId="77777777" w:rsidR="00D30E88" w:rsidRDefault="00D30E88">
      <w:pPr>
        <w:pStyle w:val="StandardWW"/>
        <w:spacing w:line="276" w:lineRule="auto"/>
        <w:jc w:val="both"/>
      </w:pPr>
    </w:p>
    <w:p w14:paraId="697197B2" w14:textId="77777777" w:rsidR="00D30E88" w:rsidRDefault="00000000">
      <w:pPr>
        <w:pStyle w:val="StandardWW"/>
        <w:spacing w:line="276" w:lineRule="auto"/>
        <w:jc w:val="both"/>
      </w:pPr>
      <w:r>
        <w:rPr>
          <w:u w:val="single"/>
        </w:rPr>
        <w:t xml:space="preserve">Prof. dr hab. Dorota </w:t>
      </w:r>
      <w:proofErr w:type="spellStart"/>
      <w:r>
        <w:rPr>
          <w:u w:val="single"/>
        </w:rPr>
        <w:t>Heck</w:t>
      </w:r>
      <w:proofErr w:type="spellEnd"/>
      <w:r>
        <w:t>:</w:t>
      </w:r>
    </w:p>
    <w:p w14:paraId="45D566D3" w14:textId="77777777" w:rsidR="00D30E88" w:rsidRDefault="00D30E88">
      <w:pPr>
        <w:pStyle w:val="StandardWW"/>
        <w:spacing w:line="276" w:lineRule="auto"/>
        <w:jc w:val="both"/>
      </w:pPr>
    </w:p>
    <w:p w14:paraId="26D67A5B" w14:textId="77777777" w:rsidR="00D30E88" w:rsidRDefault="00000000">
      <w:pPr>
        <w:pStyle w:val="StandardWW"/>
        <w:spacing w:line="360" w:lineRule="auto"/>
        <w:jc w:val="both"/>
      </w:pPr>
      <w:r>
        <w:t>1. Koncepcja dezintegracji pozytywnej Kazimierza Dąbrowskiego - w tym wartościujące i niewartościujące rozumienie kultury.</w:t>
      </w:r>
    </w:p>
    <w:p w14:paraId="0D20B666" w14:textId="77777777" w:rsidR="00D30E88" w:rsidRDefault="00000000">
      <w:pPr>
        <w:pStyle w:val="StandardWW"/>
        <w:spacing w:line="360" w:lineRule="auto"/>
        <w:jc w:val="both"/>
      </w:pPr>
      <w:r>
        <w:t>2. KZ-Syndrom a składniki kultury.</w:t>
      </w:r>
    </w:p>
    <w:p w14:paraId="3B022984" w14:textId="77777777" w:rsidR="00D30E88" w:rsidRDefault="00000000">
      <w:pPr>
        <w:pStyle w:val="StandardWW"/>
        <w:spacing w:line="360" w:lineRule="auto"/>
        <w:jc w:val="both"/>
      </w:pPr>
      <w:r>
        <w:t>3. Fenomen spotkania terapeuty z pacjentem - świadectwa tekstowe w twórczości Antoniego Kępińskiego.</w:t>
      </w:r>
    </w:p>
    <w:p w14:paraId="5CFF8B36" w14:textId="77777777" w:rsidR="00D30E88" w:rsidRDefault="00000000">
      <w:pPr>
        <w:pStyle w:val="StandardWW"/>
        <w:spacing w:line="360" w:lineRule="auto"/>
        <w:jc w:val="both"/>
      </w:pPr>
      <w:r>
        <w:t>4. Komunikacja międzykulturowa w literaturze.</w:t>
      </w:r>
    </w:p>
    <w:p w14:paraId="528C83C9" w14:textId="77777777" w:rsidR="00D30E88" w:rsidRDefault="00000000">
      <w:pPr>
        <w:pStyle w:val="StandardWW"/>
        <w:spacing w:line="360" w:lineRule="auto"/>
        <w:jc w:val="both"/>
      </w:pPr>
      <w:r>
        <w:t>5. Formy buntu w kulturze, literaturze, sztuce i przejawy buntu wobec kultury.</w:t>
      </w:r>
    </w:p>
    <w:p w14:paraId="73A8A8CF" w14:textId="77777777" w:rsidR="00D30E88" w:rsidRDefault="00000000">
      <w:pPr>
        <w:pStyle w:val="StandardWW"/>
        <w:spacing w:line="360" w:lineRule="auto"/>
        <w:jc w:val="both"/>
      </w:pPr>
      <w:r>
        <w:t xml:space="preserve">6. Kwestia „niewidzialnych kobiet” w opowiadaniu Virginii </w:t>
      </w:r>
      <w:proofErr w:type="spellStart"/>
      <w:r>
        <w:t>Woolf</w:t>
      </w:r>
      <w:proofErr w:type="spellEnd"/>
      <w:r>
        <w:t xml:space="preserve"> </w:t>
      </w:r>
      <w:r>
        <w:rPr>
          <w:i/>
          <w:iCs/>
        </w:rPr>
        <w:t>Towarzystwo do Zadawania Pytań</w:t>
      </w:r>
      <w:r>
        <w:t>.</w:t>
      </w:r>
    </w:p>
    <w:p w14:paraId="2860F188" w14:textId="77777777" w:rsidR="00D30E88" w:rsidRDefault="00000000">
      <w:pPr>
        <w:pStyle w:val="StandardWW"/>
        <w:spacing w:line="360" w:lineRule="auto"/>
        <w:jc w:val="both"/>
      </w:pPr>
      <w:r>
        <w:rPr>
          <w:i/>
          <w:iCs/>
        </w:rPr>
        <w:t xml:space="preserve">7. Medaliony </w:t>
      </w:r>
      <w:r>
        <w:t>na tle twórczości Zofii Nałkowskiej.</w:t>
      </w:r>
    </w:p>
    <w:p w14:paraId="2A1EAA47" w14:textId="77777777" w:rsidR="00D30E88" w:rsidRDefault="00000000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kern w:val="0"/>
          <w:lang w:eastAsia="pl-PL"/>
        </w:rPr>
        <w:t xml:space="preserve">8. W kręgu prozy kanadyjskiej - twórczość Lucy </w:t>
      </w:r>
      <w:proofErr w:type="spellStart"/>
      <w:r>
        <w:rPr>
          <w:rFonts w:ascii="Times New Roman" w:eastAsia="Times New Roman" w:hAnsi="Times New Roman" w:cs="Times New Roman"/>
          <w:kern w:val="0"/>
          <w:lang w:eastAsia="pl-PL"/>
        </w:rPr>
        <w:t>Maud</w:t>
      </w:r>
      <w:proofErr w:type="spellEnd"/>
      <w:r>
        <w:rPr>
          <w:rFonts w:ascii="Times New Roman" w:eastAsia="Times New Roman" w:hAnsi="Times New Roman" w:cs="Times New Roman"/>
          <w:kern w:val="0"/>
          <w:lang w:eastAsia="pl-PL"/>
        </w:rPr>
        <w:t xml:space="preserve"> Montgomery.</w:t>
      </w:r>
    </w:p>
    <w:tbl>
      <w:tblPr>
        <w:tblW w:w="65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3"/>
      </w:tblGrid>
      <w:tr w:rsidR="00D30E88" w14:paraId="75D1D512" w14:textId="77777777">
        <w:tblPrEx>
          <w:tblCellMar>
            <w:top w:w="0" w:type="dxa"/>
            <w:bottom w:w="0" w:type="dxa"/>
          </w:tblCellMar>
        </w:tblPrEx>
        <w:trPr>
          <w:trHeight w:hRule="exact" w:val="1"/>
        </w:trPr>
        <w:tc>
          <w:tcPr>
            <w:tcW w:w="6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71E49" w14:textId="77777777" w:rsidR="00D30E88" w:rsidRDefault="00D30E88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</w:tr>
    </w:tbl>
    <w:p w14:paraId="0DE80BCD" w14:textId="77777777" w:rsidR="00D30E88" w:rsidRDefault="00000000">
      <w:pPr>
        <w:pStyle w:val="StandardWW"/>
        <w:spacing w:line="360" w:lineRule="auto"/>
        <w:jc w:val="both"/>
      </w:pPr>
      <w:r>
        <w:t>9. Specyfika buddyzmu koreańskiego na tle współczesnej kultury.</w:t>
      </w:r>
    </w:p>
    <w:p w14:paraId="1A197F7B" w14:textId="77777777" w:rsidR="00D30E88" w:rsidRDefault="00000000">
      <w:pPr>
        <w:pStyle w:val="StandardWW"/>
        <w:spacing w:line="360" w:lineRule="auto"/>
        <w:jc w:val="both"/>
      </w:pPr>
      <w:r>
        <w:t>10. Motywy koreańskie w literaturze polskiej.</w:t>
      </w:r>
    </w:p>
    <w:p w14:paraId="5F3C5A83" w14:textId="77777777" w:rsidR="00D30E88" w:rsidRDefault="00000000">
      <w:pPr>
        <w:pStyle w:val="StandardWW"/>
        <w:spacing w:line="360" w:lineRule="auto"/>
        <w:jc w:val="both"/>
      </w:pPr>
      <w:r>
        <w:t xml:space="preserve">11. Definiowanie antropologii literatury w perspektywach literaturoznawczych, kulturoznawczych, </w:t>
      </w:r>
      <w:r>
        <w:lastRenderedPageBreak/>
        <w:t>etnologicznych.</w:t>
      </w:r>
    </w:p>
    <w:p w14:paraId="296942B6" w14:textId="77777777" w:rsidR="00D30E88" w:rsidRDefault="00000000">
      <w:pPr>
        <w:pStyle w:val="StandardWW"/>
        <w:spacing w:line="360" w:lineRule="auto"/>
        <w:jc w:val="both"/>
      </w:pPr>
      <w:r>
        <w:t>12. Literatura dla młodzieży na wybranych przykładach.</w:t>
      </w:r>
    </w:p>
    <w:p w14:paraId="463101E7" w14:textId="77777777" w:rsidR="00D30E88" w:rsidRDefault="00000000">
      <w:pPr>
        <w:pStyle w:val="StandardWW"/>
        <w:spacing w:line="360" w:lineRule="auto"/>
        <w:jc w:val="both"/>
      </w:pPr>
      <w:r>
        <w:t>13. Bohaterki prozy Marii Rodziewiczówny.</w:t>
      </w:r>
    </w:p>
    <w:p w14:paraId="6122E730" w14:textId="77777777" w:rsidR="00D30E88" w:rsidRDefault="00000000">
      <w:pPr>
        <w:pStyle w:val="StandardWW"/>
        <w:spacing w:line="360" w:lineRule="auto"/>
        <w:jc w:val="both"/>
      </w:pPr>
      <w:r>
        <w:t>14. Czynniki dynamizujące akcję w prozie dla młodych dorosłych.</w:t>
      </w:r>
    </w:p>
    <w:p w14:paraId="130C0856" w14:textId="77777777" w:rsidR="00D30E88" w:rsidRDefault="00000000">
      <w:pPr>
        <w:pStyle w:val="StandardWW"/>
        <w:spacing w:line="360" w:lineRule="auto"/>
        <w:jc w:val="both"/>
      </w:pPr>
      <w:r>
        <w:t>15. Twórczość wielkich artystów jako tworzywo fabuły filmowej.</w:t>
      </w:r>
    </w:p>
    <w:p w14:paraId="4FA8944C" w14:textId="77777777" w:rsidR="00D30E88" w:rsidRDefault="00000000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kern w:val="0"/>
          <w:lang w:eastAsia="pl-PL"/>
        </w:rPr>
        <w:t>16. Relacje między literaturą a malarstwem.</w:t>
      </w:r>
    </w:p>
    <w:p w14:paraId="114E0546" w14:textId="77777777" w:rsidR="00D30E88" w:rsidRDefault="00000000">
      <w:pPr>
        <w:pStyle w:val="Standard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kern w:val="0"/>
          <w:lang w:eastAsia="pl-PL"/>
        </w:rPr>
        <w:t>17. Kategoria malarskości w sztuce filmowej i jej przejawy w analizowanych w pracy magisterskiej filmach biograficznych.</w:t>
      </w: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D30E88" w14:paraId="4EF9AF97" w14:textId="77777777">
        <w:tblPrEx>
          <w:tblCellMar>
            <w:top w:w="0" w:type="dxa"/>
            <w:bottom w:w="0" w:type="dxa"/>
          </w:tblCellMar>
        </w:tblPrEx>
        <w:trPr>
          <w:trHeight w:hRule="exact" w:val="1"/>
        </w:trPr>
        <w:tc>
          <w:tcPr>
            <w:tcW w:w="90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D03DA" w14:textId="77777777" w:rsidR="00D30E88" w:rsidRDefault="00D30E88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</w:tr>
    </w:tbl>
    <w:p w14:paraId="5BD21530" w14:textId="77777777" w:rsidR="00D30E88" w:rsidRDefault="00D30E88">
      <w:pPr>
        <w:pStyle w:val="StandardWW"/>
        <w:spacing w:line="276" w:lineRule="auto"/>
        <w:jc w:val="both"/>
      </w:pPr>
    </w:p>
    <w:p w14:paraId="2583AA68" w14:textId="77777777" w:rsidR="00D30E88" w:rsidRDefault="00D30E88">
      <w:pPr>
        <w:pStyle w:val="StandardWW"/>
        <w:spacing w:line="276" w:lineRule="auto"/>
        <w:jc w:val="both"/>
      </w:pPr>
    </w:p>
    <w:p w14:paraId="472D14B3" w14:textId="77777777" w:rsidR="00D30E88" w:rsidRDefault="00D30E88">
      <w:pPr>
        <w:pStyle w:val="StandardWW"/>
        <w:spacing w:line="276" w:lineRule="auto"/>
        <w:jc w:val="both"/>
      </w:pPr>
    </w:p>
    <w:p w14:paraId="277FE45B" w14:textId="77777777" w:rsidR="00D30E88" w:rsidRDefault="00000000">
      <w:pPr>
        <w:pStyle w:val="StandardWW"/>
        <w:spacing w:line="276" w:lineRule="auto"/>
        <w:jc w:val="both"/>
      </w:pPr>
      <w:r>
        <w:rPr>
          <w:u w:val="single"/>
        </w:rPr>
        <w:t>Dr hab. Piotr Rudzki</w:t>
      </w:r>
      <w:r>
        <w:t>:</w:t>
      </w:r>
    </w:p>
    <w:p w14:paraId="70683BEA" w14:textId="77777777" w:rsidR="00D30E88" w:rsidRDefault="00D30E88">
      <w:pPr>
        <w:pStyle w:val="StandardWW"/>
        <w:spacing w:line="276" w:lineRule="auto"/>
        <w:jc w:val="both"/>
      </w:pPr>
    </w:p>
    <w:p w14:paraId="69CF7D70" w14:textId="77777777" w:rsidR="00D30E88" w:rsidRDefault="00000000">
      <w:pPr>
        <w:pStyle w:val="Textbody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 Teoria Czystej Formy w teatrze Stanisława Ignacego Witkiewicza.</w:t>
      </w:r>
    </w:p>
    <w:p w14:paraId="580C0E39" w14:textId="77777777" w:rsidR="00D30E88" w:rsidRDefault="00000000">
      <w:pPr>
        <w:pStyle w:val="Textbody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 Koncepcja „Teatru śmierci” Tadeusza Kantora.</w:t>
      </w:r>
    </w:p>
    <w:p w14:paraId="618A870F" w14:textId="77777777" w:rsidR="00D30E88" w:rsidRDefault="00000000">
      <w:pPr>
        <w:pStyle w:val="Textbody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„Metody aktorskie” Konstantego Stanisławskiego.</w:t>
      </w:r>
    </w:p>
    <w:p w14:paraId="1A6C28F0" w14:textId="77777777" w:rsidR="00D30E88" w:rsidRDefault="00000000">
      <w:pPr>
        <w:pStyle w:val="Textbody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Teatr ubogi Jerzego Grotowskiego.</w:t>
      </w:r>
    </w:p>
    <w:p w14:paraId="426B3489" w14:textId="77777777" w:rsidR="00D30E88" w:rsidRDefault="00000000">
      <w:pPr>
        <w:pStyle w:val="Textbody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5. Tak zwana „wielka reforma teatru”: założenia, cele i najważniejsze osoby.</w:t>
      </w:r>
    </w:p>
    <w:p w14:paraId="25CB5233" w14:textId="77777777" w:rsidR="00D30E88" w:rsidRDefault="00000000">
      <w:pPr>
        <w:pStyle w:val="Textbody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proofErr w:type="spellStart"/>
      <w:r>
        <w:rPr>
          <w:rFonts w:ascii="Times New Roman" w:hAnsi="Times New Roman"/>
        </w:rPr>
        <w:t>Natjaśastra</w:t>
      </w:r>
      <w:proofErr w:type="spellEnd"/>
      <w:r>
        <w:rPr>
          <w:rFonts w:ascii="Times New Roman" w:hAnsi="Times New Roman"/>
        </w:rPr>
        <w:t xml:space="preserve"> Bharaty a </w:t>
      </w:r>
      <w:r>
        <w:rPr>
          <w:rFonts w:ascii="Times New Roman" w:hAnsi="Times New Roman"/>
          <w:i/>
          <w:iCs/>
        </w:rPr>
        <w:t xml:space="preserve">Poetyka </w:t>
      </w:r>
      <w:r>
        <w:rPr>
          <w:rFonts w:ascii="Times New Roman" w:hAnsi="Times New Roman"/>
        </w:rPr>
        <w:t>Arystotelesa.</w:t>
      </w:r>
    </w:p>
    <w:p w14:paraId="041D2D9F" w14:textId="77777777" w:rsidR="00D30E88" w:rsidRDefault="00000000">
      <w:pPr>
        <w:pStyle w:val="Textbody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7. Historia czy historie teatru?</w:t>
      </w:r>
    </w:p>
    <w:p w14:paraId="6E6BDDFD" w14:textId="77777777" w:rsidR="00D30E88" w:rsidRDefault="00000000">
      <w:pPr>
        <w:pStyle w:val="Textbody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Teatr </w:t>
      </w:r>
      <w:proofErr w:type="spellStart"/>
      <w:r>
        <w:rPr>
          <w:rFonts w:ascii="Times New Roman" w:hAnsi="Times New Roman"/>
        </w:rPr>
        <w:t>postdramatyczny</w:t>
      </w:r>
      <w:proofErr w:type="spellEnd"/>
      <w:r>
        <w:rPr>
          <w:rFonts w:ascii="Times New Roman" w:hAnsi="Times New Roman"/>
        </w:rPr>
        <w:t>.</w:t>
      </w:r>
    </w:p>
    <w:p w14:paraId="3B3019B6" w14:textId="77777777" w:rsidR="00D30E88" w:rsidRDefault="00000000">
      <w:pPr>
        <w:pStyle w:val="Textbody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Przełom </w:t>
      </w:r>
      <w:proofErr w:type="spellStart"/>
      <w:r>
        <w:rPr>
          <w:rFonts w:ascii="Times New Roman" w:hAnsi="Times New Roman"/>
        </w:rPr>
        <w:t>performatywny</w:t>
      </w:r>
      <w:proofErr w:type="spellEnd"/>
      <w:r>
        <w:rPr>
          <w:rFonts w:ascii="Times New Roman" w:hAnsi="Times New Roman"/>
        </w:rPr>
        <w:t xml:space="preserve"> w teatrze.</w:t>
      </w:r>
    </w:p>
    <w:p w14:paraId="3F573D0D" w14:textId="77777777" w:rsidR="00D30E88" w:rsidRDefault="00000000">
      <w:pPr>
        <w:pStyle w:val="Textbody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10. Znaczenie i miejsce w rzeczywistości społeczno-politycznej teatru starożytnej Grecji.</w:t>
      </w:r>
    </w:p>
    <w:p w14:paraId="10CDDEB6" w14:textId="77777777" w:rsidR="00D30E88" w:rsidRDefault="00000000">
      <w:pPr>
        <w:pStyle w:val="Textbody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11. Rola i najważniejsze rozwiązania przestrzenne teatru średniowiecznego.</w:t>
      </w:r>
    </w:p>
    <w:p w14:paraId="44E5AE6E" w14:textId="77777777" w:rsidR="00D30E88" w:rsidRDefault="00000000">
      <w:pPr>
        <w:pStyle w:val="Textbody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12. Juliusz Osterwa i jego „Reduta”.</w:t>
      </w:r>
    </w:p>
    <w:p w14:paraId="3A618249" w14:textId="77777777" w:rsidR="00D30E88" w:rsidRDefault="00000000">
      <w:pPr>
        <w:pStyle w:val="Textbody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13. Teatr jako wehikuł poznania Krystiana Lupy.</w:t>
      </w:r>
    </w:p>
    <w:p w14:paraId="49CFF992" w14:textId="77777777" w:rsidR="00D30E88" w:rsidRDefault="00000000">
      <w:pPr>
        <w:pStyle w:val="Textbody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14. Znaczenie </w:t>
      </w:r>
      <w:r>
        <w:rPr>
          <w:rFonts w:ascii="Times New Roman" w:hAnsi="Times New Roman"/>
          <w:i/>
          <w:iCs/>
        </w:rPr>
        <w:t>Lekcji XVI</w:t>
      </w:r>
      <w:r>
        <w:rPr>
          <w:rFonts w:ascii="Times New Roman" w:hAnsi="Times New Roman"/>
        </w:rPr>
        <w:t xml:space="preserve"> Adama Mickiewicza.</w:t>
      </w:r>
    </w:p>
    <w:p w14:paraId="4AA621B7" w14:textId="77777777" w:rsidR="00D30E88" w:rsidRDefault="00000000">
      <w:pPr>
        <w:pStyle w:val="Textbody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15. „Przepisywanie klasyków” we współczesnym polskim teatrze.</w:t>
      </w:r>
    </w:p>
    <w:p w14:paraId="626854DA" w14:textId="77777777" w:rsidR="00D30E88" w:rsidRDefault="00000000">
      <w:pPr>
        <w:pStyle w:val="Textbody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16. „Teatr gier z popkulturą” Jana Klaty.</w:t>
      </w:r>
    </w:p>
    <w:p w14:paraId="578C1433" w14:textId="77777777" w:rsidR="00D30E88" w:rsidRDefault="00000000">
      <w:pPr>
        <w:pStyle w:val="Textbody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17. Powstanie i rozwój teatru publicznego w Rzeczypospolitej.</w:t>
      </w:r>
    </w:p>
    <w:sectPr w:rsidR="00D30E8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9B4C2" w14:textId="77777777" w:rsidR="00BD7916" w:rsidRDefault="00BD7916">
      <w:pPr>
        <w:rPr>
          <w:rFonts w:hint="eastAsia"/>
        </w:rPr>
      </w:pPr>
      <w:r>
        <w:separator/>
      </w:r>
    </w:p>
  </w:endnote>
  <w:endnote w:type="continuationSeparator" w:id="0">
    <w:p w14:paraId="60369868" w14:textId="77777777" w:rsidR="00BD7916" w:rsidRDefault="00BD791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2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C315C" w14:textId="77777777" w:rsidR="00BD7916" w:rsidRDefault="00BD791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93F965B" w14:textId="77777777" w:rsidR="00BD7916" w:rsidRDefault="00BD791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85945"/>
    <w:multiLevelType w:val="multilevel"/>
    <w:tmpl w:val="D7A68F58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115058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30E88"/>
    <w:rsid w:val="000912D1"/>
    <w:rsid w:val="00631253"/>
    <w:rsid w:val="00BD7916"/>
    <w:rsid w:val="00C908F0"/>
    <w:rsid w:val="00D3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9CFD9"/>
  <w15:docId w15:val="{A05920B7-CC4A-4020-888B-B3A1036A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Nagwek7">
    <w:name w:val="heading 7"/>
    <w:basedOn w:val="Standard"/>
    <w:next w:val="Standard"/>
    <w:pPr>
      <w:keepNext/>
      <w:keepLines/>
      <w:spacing w:before="40"/>
      <w:outlineLvl w:val="6"/>
    </w:pPr>
    <w:rPr>
      <w:color w:val="595959"/>
    </w:rPr>
  </w:style>
  <w:style w:type="paragraph" w:styleId="Nagwek8">
    <w:name w:val="heading 8"/>
    <w:basedOn w:val="Standard"/>
    <w:next w:val="Standard"/>
    <w:pPr>
      <w:keepNext/>
      <w:keepLines/>
      <w:outlineLvl w:val="7"/>
    </w:pPr>
    <w:rPr>
      <w:i/>
      <w:iCs/>
      <w:color w:val="272727"/>
    </w:rPr>
  </w:style>
  <w:style w:type="paragraph" w:styleId="Nagwek9">
    <w:name w:val="heading 9"/>
    <w:basedOn w:val="Standard"/>
    <w:next w:val="Standard"/>
    <w:pPr>
      <w:keepNext/>
      <w:keepLines/>
      <w:outlineLvl w:val="8"/>
    </w:pPr>
    <w:rPr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WW">
    <w:name w:val="Standard (WW)"/>
    <w:pPr>
      <w:widowControl w:val="0"/>
    </w:pPr>
    <w:rPr>
      <w:rFonts w:ascii="Times New Roman" w:eastAsia="SimSun" w:hAnsi="Times New Roman"/>
    </w:rPr>
  </w:style>
  <w:style w:type="paragraph" w:styleId="Cytatintensywny">
    <w:name w:val="Intense Quote"/>
    <w:basedOn w:val="Standard"/>
    <w:next w:val="Standar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styleId="Akapitzlist">
    <w:name w:val="List Paragraph"/>
    <w:basedOn w:val="Standard"/>
    <w:pPr>
      <w:spacing w:after="160"/>
      <w:ind w:left="720"/>
      <w:contextualSpacing/>
    </w:pPr>
  </w:style>
  <w:style w:type="paragraph" w:styleId="Cytat">
    <w:name w:val="Quote"/>
    <w:basedOn w:val="Standard"/>
    <w:next w:val="Standard"/>
    <w:pPr>
      <w:spacing w:before="160" w:after="160"/>
      <w:jc w:val="center"/>
    </w:pPr>
    <w:rPr>
      <w:i/>
      <w:iCs/>
      <w:color w:val="404040"/>
    </w:rPr>
  </w:style>
  <w:style w:type="paragraph" w:styleId="Podtytu">
    <w:name w:val="Subtitle"/>
    <w:basedOn w:val="Standard"/>
    <w:next w:val="Standard"/>
    <w:uiPriority w:val="11"/>
    <w:qFormat/>
    <w:rPr>
      <w:color w:val="595959"/>
      <w:spacing w:val="15"/>
      <w:sz w:val="28"/>
      <w:szCs w:val="28"/>
    </w:rPr>
  </w:style>
  <w:style w:type="paragraph" w:styleId="Tytu">
    <w:name w:val="Title"/>
    <w:basedOn w:val="Standard"/>
    <w:next w:val="Standard"/>
    <w:uiPriority w:val="10"/>
    <w:qFormat/>
    <w:pPr>
      <w:spacing w:after="80"/>
      <w:contextualSpacing/>
    </w:pPr>
    <w:rPr>
      <w:rFonts w:ascii="Aptos Display" w:hAnsi="Aptos Display"/>
      <w:spacing w:val="-10"/>
      <w:sz w:val="56"/>
      <w:szCs w:val="5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styleId="Odwoanieintensywne">
    <w:name w:val="Intense Reference"/>
    <w:basedOn w:val="DefaultParagraphFontWW"/>
    <w:rPr>
      <w:b/>
      <w:bCs/>
      <w:smallCaps/>
      <w:color w:val="0F4761"/>
      <w:spacing w:val="5"/>
    </w:rPr>
  </w:style>
  <w:style w:type="character" w:customStyle="1" w:styleId="CytatintensywnyZnak">
    <w:name w:val="Cytat intensywny Znak"/>
    <w:basedOn w:val="DefaultParagraphFontWW"/>
    <w:rPr>
      <w:i/>
      <w:iCs/>
      <w:color w:val="0F4761"/>
    </w:rPr>
  </w:style>
  <w:style w:type="character" w:styleId="Wyrnienieintensywne">
    <w:name w:val="Intense Emphasis"/>
    <w:basedOn w:val="DefaultParagraphFontWW"/>
    <w:rPr>
      <w:i/>
      <w:iCs/>
      <w:color w:val="0F4761"/>
    </w:rPr>
  </w:style>
  <w:style w:type="character" w:customStyle="1" w:styleId="CytatZnak">
    <w:name w:val="Cytat Znak"/>
    <w:basedOn w:val="DefaultParagraphFontWW"/>
    <w:rPr>
      <w:i/>
      <w:iCs/>
      <w:color w:val="404040"/>
    </w:rPr>
  </w:style>
  <w:style w:type="character" w:customStyle="1" w:styleId="PodtytuZnak">
    <w:name w:val="Podtytuł Znak"/>
    <w:basedOn w:val="DefaultParagraphFontWW"/>
    <w:rPr>
      <w:rFonts w:eastAsia="NSimSun" w:cs="Arial"/>
      <w:color w:val="595959"/>
      <w:spacing w:val="15"/>
      <w:sz w:val="28"/>
      <w:szCs w:val="28"/>
    </w:rPr>
  </w:style>
  <w:style w:type="character" w:customStyle="1" w:styleId="TytuZnak">
    <w:name w:val="Tytuł Znak"/>
    <w:basedOn w:val="DefaultParagraphFontWW"/>
    <w:rPr>
      <w:rFonts w:ascii="Aptos Display" w:eastAsia="NSimSun" w:hAnsi="Aptos Display" w:cs="Arial"/>
      <w:spacing w:val="-10"/>
      <w:kern w:val="3"/>
      <w:sz w:val="56"/>
      <w:szCs w:val="56"/>
    </w:rPr>
  </w:style>
  <w:style w:type="character" w:customStyle="1" w:styleId="Nagwek9Znak">
    <w:name w:val="Nagłówek 9 Znak"/>
    <w:basedOn w:val="DefaultParagraphFontWW"/>
    <w:rPr>
      <w:rFonts w:eastAsia="NSimSun" w:cs="Arial"/>
      <w:color w:val="272727"/>
    </w:rPr>
  </w:style>
  <w:style w:type="character" w:customStyle="1" w:styleId="Nagwek8Znak">
    <w:name w:val="Nagłówek 8 Znak"/>
    <w:basedOn w:val="DefaultParagraphFontWW"/>
    <w:rPr>
      <w:rFonts w:eastAsia="NSimSun" w:cs="Arial"/>
      <w:i/>
      <w:iCs/>
      <w:color w:val="272727"/>
    </w:rPr>
  </w:style>
  <w:style w:type="character" w:customStyle="1" w:styleId="Nagwek7Znak">
    <w:name w:val="Nagłówek 7 Znak"/>
    <w:basedOn w:val="DefaultParagraphFontWW"/>
    <w:rPr>
      <w:rFonts w:eastAsia="NSimSun" w:cs="Arial"/>
      <w:color w:val="595959"/>
    </w:rPr>
  </w:style>
  <w:style w:type="character" w:customStyle="1" w:styleId="Nagwek6Znak">
    <w:name w:val="Nagłówek 6 Znak"/>
    <w:basedOn w:val="DefaultParagraphFontWW"/>
    <w:rPr>
      <w:rFonts w:eastAsia="NSimSun" w:cs="Arial"/>
      <w:i/>
      <w:iCs/>
      <w:color w:val="595959"/>
    </w:rPr>
  </w:style>
  <w:style w:type="character" w:customStyle="1" w:styleId="Nagwek5Znak">
    <w:name w:val="Nagłówek 5 Znak"/>
    <w:basedOn w:val="DefaultParagraphFontWW"/>
    <w:rPr>
      <w:rFonts w:eastAsia="NSimSun" w:cs="Arial"/>
      <w:color w:val="0F4761"/>
    </w:rPr>
  </w:style>
  <w:style w:type="character" w:customStyle="1" w:styleId="Nagwek4Znak">
    <w:name w:val="Nagłówek 4 Znak"/>
    <w:basedOn w:val="DefaultParagraphFontWW"/>
    <w:rPr>
      <w:rFonts w:eastAsia="NSimSun" w:cs="Arial"/>
      <w:i/>
      <w:iCs/>
      <w:color w:val="0F4761"/>
    </w:rPr>
  </w:style>
  <w:style w:type="character" w:customStyle="1" w:styleId="Nagwek3Znak">
    <w:name w:val="Nagłówek 3 Znak"/>
    <w:basedOn w:val="DefaultParagraphFontWW"/>
    <w:rPr>
      <w:rFonts w:eastAsia="NSimSun" w:cs="Arial"/>
      <w:color w:val="0F4761"/>
      <w:sz w:val="28"/>
      <w:szCs w:val="28"/>
    </w:rPr>
  </w:style>
  <w:style w:type="character" w:customStyle="1" w:styleId="Nagwek2Znak">
    <w:name w:val="Nagłówek 2 Znak"/>
    <w:basedOn w:val="DefaultParagraphFontWW"/>
    <w:rPr>
      <w:rFonts w:ascii="Aptos Display" w:eastAsia="NSimSun" w:hAnsi="Aptos Display" w:cs="Arial"/>
      <w:color w:val="0F4761"/>
      <w:sz w:val="32"/>
      <w:szCs w:val="32"/>
    </w:rPr>
  </w:style>
  <w:style w:type="character" w:customStyle="1" w:styleId="Nagwek1Znak">
    <w:name w:val="Nagłówek 1 Znak"/>
    <w:basedOn w:val="DefaultParagraphFontWW"/>
    <w:rPr>
      <w:rFonts w:ascii="Aptos Display" w:eastAsia="NSimSun" w:hAnsi="Aptos Display" w:cs="Arial"/>
      <w:color w:val="0F4761"/>
      <w:sz w:val="40"/>
      <w:szCs w:val="40"/>
    </w:rPr>
  </w:style>
  <w:style w:type="character" w:customStyle="1" w:styleId="DefaultParagraphFontWW">
    <w:name w:val="Default Paragraph Font (WW)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NoListWW">
    <w:name w:val="No List (WW)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Marcin Kowalczuk</cp:lastModifiedBy>
  <cp:revision>2</cp:revision>
  <dcterms:created xsi:type="dcterms:W3CDTF">2025-01-29T14:27:00Z</dcterms:created>
  <dcterms:modified xsi:type="dcterms:W3CDTF">2025-01-29T14:27:00Z</dcterms:modified>
</cp:coreProperties>
</file>